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StVArchVersByRPf (Bayern) — Anwendbare Vorschriften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Architekten des Landes Rheinland-Pfalz zur Bayerischen Architektenversorgung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dieser Staatsvertrag nichts anderes bestimmt, gelten die für die Bayerische Architektenversorgung maßgeblichen Bestimmungen des bayerischen Gesetzes über das öffentliche Versorgungswesen vom 25. Juni 1994 (BayRS 763-1-I, BayGVBl S. 466) in der jeweils geltenden Fassung im Land Rheinland-Pfalz entsprechend. Für das Verwaltungsverfahren ist das Recht des Sitzlandes entsprechend anzuwenden.</w:t>
      </w:r>
    </w:p>
    <w:p>
      <w:r>
        <w:t xml:space="preserve">(2) Die Bayerische Architektenversorgung hat das Recht, die von ihr erlassenen Verwaltungsakte im Land Rheinland-Pfalz zu vollstrecken. Das Verfahren richtet sich nach dem Verwaltungsvollstreckungsgesetz für Rheinland-Pfalz in der jeweils geltenden Fassung.</w:t>
      </w:r>
    </w:p>
    <w:p>
      <w:r>
        <w:rPr>
          <w:color w:val="555555"/>
          <w:sz w:val="17"/>
        </w:rPr>
        <w:t xml:space="preserve">Zitiervorschlag: Art 2 StVArchVersByRPf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https://recht.nulegal.eu/gesetze/StVArchVersByRPf/2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