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StVArchVersByRPf (Bayern) — Kündigung des Staatsvertrages</w:t>
      </w:r>
    </w:p>
    <w:p>
      <w:r>
        <w:rPr>
          <w:color w:val="555555"/>
          <w:sz w:val="18"/>
        </w:rPr>
        <w:t xml:space="preserve">Staatsvertrag zwischen dem Freistaat Bayern und dem Land Rheinland-Pfalz über die Zugehörigkeit der Architekten des Landes Rheinland-Pfalz zur Bayerischen Architektenversorgung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Staatsvertrages ist eine Kündigung ausgeschlossen.</w:t>
      </w:r>
    </w:p>
    <w:p>
      <w:r>
        <w:t xml:space="preserve">(2) Im Falle der Kündigung übernimmt ein durch das Land Rheinland-Pfalz innerhalb der Kündigungsfrist zu bestimmender Rechtsträger als Gesamtrechtsnachfolger diejenigen Mitglieder der Bayerischen Architektenversorgung, deren Mitgliedschaft zur Bayerischen Architektenversorgung auf diesem Staatsvertrag beruht, sowie alle im Land Rheinland-Pfalz wohnhaften Versorgungsberechtigten. Auf diesen Rechtsträger gehen alle Rechte und Pflichten der Bayerischen Architektenversorgung gegenüber den übernommenen Mitgliedern und Versorgungsberechtigten über.</w:t>
      </w:r>
    </w:p>
    <w:p>
      <w:r>
        <w:t xml:space="preserve">(3) Es findet eine Auseinandersetzung des Vermögens nach versicherungsmathematischen Grundsätzen statt, wobei die im Zeitpunkt des Wirksamwerdens der Kündigung im technischen Geschäftsplan festgelegten Rechnungsgrundlagen maßgebend sind. Die Auseinandersetzung des Vermögens bedarf der versicherungsaufsichtlichen Genehmigung durch das Bayerische Staatsministerium für Wirtschaft und Verkehr. Das zu verteilende Vermögen ergibt sich aus einer zum Tag des Wirksamwerdens der Kündigung zu erstellenden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der Bayerischen Architektenversorgung aufzuteilen; soweit nichtversicherungstechnische Verbindlichkeiten von dem Gesamtrechtsnachfolger übernommen werden, sind ihm die entsprechenden Deckungsmittel zu überlassen. Bei der Verteilung des Vermögens sind im Land Rheinland-Pfalz angelegte Vermögenswerte auf Verlangen auf den Gesamtrechtsnachfolger zu übertragen; bei den übrigen Vermögenswerten ist die Bayerische Architektenversorgung berechtigt, Wertpapiere und Grundbesitz in Geldwert abzulösen.</w:t>
      </w:r>
    </w:p>
    <w:p>
      <w:r>
        <w:rPr>
          <w:color w:val="555555"/>
          <w:sz w:val="17"/>
        </w:rPr>
        <w:t xml:space="preserve">Zitiervorschlag: Art 10 StVArchVersByRPf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https://recht.nulegal.eu/gesetze/StVArchVersByRPf/10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