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StVArchVersByRPf (Bayern) — Mitgliedschaft</w:t>
      </w:r>
    </w:p>
    <w:p>
      <w:r>
        <w:rPr>
          <w:color w:val="555555"/>
          <w:sz w:val="18"/>
        </w:rPr>
        <w:t xml:space="preserve">Staatsvertrag zwischen dem Freistaat Bayern und dem Land Rheinland-Pfalz über die Zugehörigkeit der Architekten des Landes Rheinland-Pfalz zur Bayerischen Architektenversorgung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nicht berufsunfähigen Mitglieder der Architektenkammer Rheinland-Pfalz sind Mitglieder der Bayerischen Architektenversorgung. Mitglieder der Bayerischen Architektenversorgung sind auch diejenigen nicht berufsunfähigen Personen, die in der Liste der Juniormitglieder nach § 7a Abs. 1 des Architektengesetzes Rheinland-Pfalz vom 16. Dezember 2005 (GVBl. Rheinland-Pfalz S. 505), zuletzt geändert durch Artikel 1 des Gesetzes vom 20. Juni 2022 (GVBl. Rheinland-Pfalz S. 221), in der jeweils geltenden Fassung eingetragen sind. Die Sätze 1 und 2 gelten nicht, soweit Artikel 3 und 11a dieses Staatsvertrages und die Satzung der Bayerischen Architektenversorgung Ausnahmen bestimmen.</w:t>
      </w:r>
    </w:p>
    <w:p>
      <w:r>
        <w:t xml:space="preserve">(2) Soweit die Satzung der Bayerischen Architektenversorgung Rechtswirkungen an die Zugehörigkeit zur Bayerischen Architektenkammer knüpft, ergeben sich die gleichen Rechtswirkungen für die Mitglieder der Architektenkammer Rheinland-Pfalz aus der Zugehörigkeit zu dieser Kammer. Personen nach Absatz 1 Satz 2 stehen beim Vollzug der Satzung der Bayerischen Architektenversorgung entsprechenden Mitgliedern der Bayerischen Architektenversorgung gleich.</w:t>
      </w:r>
    </w:p>
    <w:p>
      <w:r>
        <w:rPr>
          <w:color w:val="555555"/>
          <w:sz w:val="17"/>
        </w:rPr>
        <w:t xml:space="preserve">Zitiervorschlag: Art 1 StVArchVersByRPf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https://recht.nulegal.eu/gesetze/StVArchVersByRPf/1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