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StVAbkEntwAusDiekl (Bayern) — Nutzung des LZN</w:t>
      </w:r>
    </w:p>
    <w:p>
      <w:r>
        <w:rPr>
          <w:color w:val="555555"/>
          <w:sz w:val="18"/>
        </w:rPr>
        <w:t xml:space="preserve">Verwaltungsabkommen über die Kooperation bei der Entwicklung, Weiterentwicklung, Beschaffung und Auslieferung von Dienst- und Sonderbekleidung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Kooperationspartner zu 1) und 2) bedienen sich zur Umsetzung dieser Kooperationsvereinbarung des LZN.</w:t>
      </w:r>
    </w:p>
    <w:p>
      <w:r>
        <w:rPr>
          <w:color w:val="555555"/>
          <w:sz w:val="17"/>
        </w:rPr>
        <w:t xml:space="preserve">Zitiervorschlag: § 5 StVAbkEntwAusDiekl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https://recht.nulegal.eu/gesetze/StVAbkEntwAusDiekl/5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StVAbkEntwAusDiekl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