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StVA7_A8VwAbk (Bayern)</w:t>
      </w:r>
    </w:p>
    <w:p>
      <w:r>
        <w:rPr>
          <w:color w:val="555555"/>
          <w:sz w:val="18"/>
        </w:rPr>
        <w:t xml:space="preserve">Verwaltungsabkommen zwischen dem Land Baden-Württemberg und dem Freistaat Bayern über die Wahrnehmung von Kontroll- und Fahndungsmaßnahmen auf der Bundesautobahn A 7 Würzburg – Kempten, der Bundesautobahn A 8 München – Stuttgart im Bereich des Regierungsbezirks Tübingen sowie der Bundesautobahn A 96 Lindau – München zwischen dem Grenzübergang Lindau und dem Autobahnkreuz Memmingen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Innenministerium Baden-Württemberg</w:t>
      </w:r>
    </w:p>
    <w:p>
      <w:r>
        <w:rPr>
          <w:color w:val="555555"/>
          <w:sz w:val="17"/>
        </w:rPr>
        <w:t xml:space="preserve">Zitiervorschlag: Eingangsformel StVA7_A8VwAbk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https://recht.nulegal.eu/gesetze/StVA7_A8VwAbk/eingangsformel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