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 StV-KKRBB (Brandenburg) — Ordnungswidrigkeiten</w:t>
      </w:r>
    </w:p>
    <w:p>
      <w:r>
        <w:rPr>
          <w:color w:val="555555"/>
          <w:sz w:val="18"/>
        </w:rPr>
        <w:t xml:space="preserve">Staatsvertrag Klinisch-epidemiologisches Krebsregister Brandenburg-Berlin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als meldepflichtige Person vorsätzlich oder fahrlässig entgegen Artikel 9 Absatz 1 oder 4 eine Meldung an das Krebsregister nicht, nicht rechtzeitig oder nicht vollständig übermittelt.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Art 22 StV-KKRBB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https://recht.nulegal.eu/gesetze/StV-KKRBB/22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