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StV-KKRBB (Brandenburg) — Grundsätze der Abrechnung</w:t>
      </w:r>
    </w:p>
    <w:p>
      <w:r>
        <w:rPr>
          <w:color w:val="555555"/>
          <w:sz w:val="18"/>
        </w:rPr>
        <w:t xml:space="preserve">Staatsvertrag Klinisch-epidemiologisches Krebsregister Brandenburg-Berlin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Krebsregister führt</w:t>
      </w:r>
    </w:p>
    <w:p>
      <w:r>
        <w:t xml:space="preserve">die einzelfallbezogene Abrechnung der Krebsregisterpauschalen nach § 65c Absatz 4 des Fünften Buches Sozialgesetzbuch mit den Kostenträgern,</w:t>
      </w:r>
    </w:p>
    <w:p>
      <w:r>
        <w:t xml:space="preserve">die einzelfallbezogene Abrechnung der Meldevergütungen nach § 65c Absatz 6 des Fünften Buches Sozialgesetzbuch mit den Kostenträgern sowie</w:t>
      </w:r>
    </w:p>
    <w:p>
      <w:r>
        <w:t xml:space="preserve">die Auszahlung der Meldevergütung an die meldepflichtige Person</w:t>
      </w:r>
    </w:p>
    <w:p>
      <w:r>
        <w:t xml:space="preserve">durch.</w:t>
      </w:r>
    </w:p>
    <w:p>
      <w:r>
        <w:t xml:space="preserve">(2) Kostenträger sind die Krankenkassen und die Ersatzkassen. Verpflichten sich Unternehmen der privaten Krankenversicherungen, die Beihilfeträger auf Bundes-, Landes- oder kommunaler Ebene oder andere vergleichbare Einrichtungen zur Kostentragung gemäß § 65c Absatz 4 und 6 des Fünften Buches Sozialgesetzbuch, gelten diese ebenfalls als Kostenträger im Sinne dieses Staatsvertrages. Mit ihnen können von diesem Staatsvertrag abweichende Regelungen zum Abrechnungsverfahren im Wege einer Vereinbarung getroffen werden.</w:t>
      </w:r>
    </w:p>
    <w:p>
      <w:r>
        <w:t xml:space="preserve">(3) Krebsregisterpauschale ist die fallbezogene Pauschale gemäß § 65c Absatz 4 Satz 2, 3, 5, 6 und 9 des Fünften Buches Sozialgesetzbuch, die dem Krebsregister einmalig für jede erstmals im Krebsregister verarbeitete Meldung zur Neuerkrankung an einem Tumor gemäß § 65c Absatz 1 Satz 2 Nummer 1 des Fünften Buches Sozialgesetzbuch zu zahlen ist.</w:t>
      </w:r>
    </w:p>
    <w:p>
      <w:r>
        <w:t xml:space="preserve">(4) Für die Verarbeitung der Daten wird das in den Förderkriterien gemäß § 65c Absatz 2 des Fünften Buches Sozialgesetzbuch vorgesehene bundesweit einheitliche elektronische Datenaustauschverfahren genutzt.</w:t>
      </w:r>
    </w:p>
    <w:p>
      <w:r>
        <w:rPr>
          <w:color w:val="555555"/>
          <w:sz w:val="17"/>
        </w:rPr>
        <w:t xml:space="preserve">Zitiervorschlag: Art 17 StV-KKRBB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https://recht.nulegal.eu/gesetze/StV-KKRBB/17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