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StUKostV — Inkrafttreten</w:t>
      </w:r>
    </w:p>
    <w:p>
      <w:r>
        <w:rPr>
          <w:color w:val="555555"/>
          <w:sz w:val="18"/>
        </w:rPr>
        <w:t xml:space="preserve">Stasi-Unterlagen-Kostenordnung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8 StUKostV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https://recht.nulegal.eu/gesetze/StUKostV/8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