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StUKostV — Gebührenschuldner</w:t>
      </w:r>
    </w:p>
    <w:p>
      <w:r>
        <w:rPr>
          <w:color w:val="555555"/>
          <w:sz w:val="18"/>
        </w:rPr>
        <w:t xml:space="preserve">Stasi-Unterlagen-Kostenordnung</w:t>
      </w:r>
    </w:p>
    <w:p>
      <w:r>
        <w:rPr>
          <w:color w:val="555555"/>
          <w:sz w:val="18"/>
        </w:rPr>
        <w:t xml:space="preserve">Historische Fassung: Stand 10.06.2019 bis 01.10.2021. Dies ist nicht die aktuelle Fassung.</w:t>
      </w:r>
    </w:p>
    <w:p>
      <w:r>
        <w:t xml:space="preserve">(1) Zur Zahlung der Gebühren ist verpflichtet,</w:t>
      </w:r>
    </w:p>
    <w:p>
      <w:pPr>
        <w:ind w:left="420"/>
      </w:pPr>
      <w:r>
        <w:t xml:space="preserve">1. wer die individuell zurechenbare öffentliche Leistung veranlaßt oder zu wessen Gunsten sie vorgenommen wird;</w:t>
      </w:r>
    </w:p>
    <w:p>
      <w:pPr>
        <w:ind w:left="420"/>
      </w:pPr>
      <w:r>
        <w:t xml:space="preserve">2. wer die Gebühren durch eine gegenüber dem Bundesbeauftragten abgegebene oder dem Bundesbeauftragten mitgeteilte Erklärung übernommen hat;</w:t>
      </w:r>
    </w:p>
    <w:p>
      <w:pPr>
        <w:ind w:left="420"/>
      </w:pPr>
      <w:r>
        <w:t xml:space="preserve">3. wer für die Gebührenschuld eines anderen kraft Gesetzes haftet.</w:t>
      </w:r>
    </w:p>
    <w:p>
      <w:r>
        <w:t xml:space="preserve">(2) Mehrere Gebührenschuldner haften als Gesamtschuldner.</w:t>
      </w:r>
    </w:p>
    <w:p>
      <w:r>
        <w:rPr>
          <w:color w:val="555555"/>
          <w:sz w:val="17"/>
        </w:rPr>
        <w:t xml:space="preserve">Zitiervorschlag: § 5 StUKostV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https://recht.nulegal.eu/gesetze/StUKostV/5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