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StUKostV — Gebühren und Auslagen</w:t>
      </w:r>
    </w:p>
    <w:p>
      <w:r>
        <w:rPr>
          <w:color w:val="555555"/>
          <w:sz w:val="18"/>
        </w:rPr>
        <w:t xml:space="preserve">Stasi-Unterlagen-Kostenordnung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Gebühren und Auslagen bestimmen sich nach dem anliegenden Gebühren- und Auslagenverzeichnis.</w:t>
      </w:r>
    </w:p>
    <w:p>
      <w:r>
        <w:t xml:space="preserve">(2) Auslagen werden zusätzlich zu den Gebühren erhoben. Erreichen die Auslagen nicht die Höhe von fünf Deutsche Mark, werden sie nicht erhoben.</w:t>
      </w:r>
    </w:p>
    <w:p>
      <w:r>
        <w:t xml:space="preserve">(3) Auslagen sind auch dann zu erheben, wenn eine Gebühr für die individuell zurechenbare öffentliche Leistung nicht erhoben wird. § 42 Abs. 1 Satz 3 des Stasi-Unterlagen-Gesetzes bleibt unberührt.</w:t>
      </w:r>
    </w:p>
    <w:p>
      <w:r>
        <w:rPr>
          <w:color w:val="555555"/>
          <w:sz w:val="17"/>
        </w:rPr>
        <w:t xml:space="preserve">Zitiervorschlag: § 2 StUKostV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https://recht.nulegal.eu/gesetze/StUKostV/2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