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StUKostV — Geltungsbereich</w:t>
      </w:r>
    </w:p>
    <w:p>
      <w:r>
        <w:rPr>
          <w:color w:val="555555"/>
          <w:sz w:val="18"/>
        </w:rPr>
        <w:t xml:space="preserve">Stasi-Unterlagen-Kostenordnung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Für individuell zurechenbare öffentliche Leistungen des Bundesbeauftragten für die Unterlagen des Staatssicherheitsdienstes der ehemaligen Deutschen Demokratischen Republik (Bundesbeauftragter) nach den §§ 13 bis 17 sowie gegenüber nicht-öffentlichen Stellen nach den §§ 20, 21, 32 und 34 des Stasi-Unterlagen-Gesetzes werden Gebühren und Auslagen nur nach den Vorschriften dieser Verordnung erhoben.</w:t>
      </w:r>
    </w:p>
    <w:p>
      <w:r>
        <w:rPr>
          <w:color w:val="555555"/>
          <w:sz w:val="17"/>
        </w:rPr>
        <w:t xml:space="preserve">Zitiervorschlag: § 1 StUKostV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