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StUG — Übergangsregelung</w:t>
      </w:r>
    </w:p>
    <w:p>
      <w:r>
        <w:rPr>
          <w:color w:val="555555"/>
          <w:sz w:val="18"/>
        </w:rPr>
        <w:t xml:space="preserve">Stasi-Unterlagen-Gesetz</w:t>
      </w:r>
    </w:p>
    <w:p>
      <w:r>
        <w:rPr>
          <w:color w:val="555555"/>
          <w:sz w:val="18"/>
        </w:rPr>
        <w:t xml:space="preserve">Stand: 23.10.2021 (konsolidierte Textfassung, kein amtliches Inkrafttretensdatum)</w:t>
      </w:r>
    </w:p>
    <w:p>
      <w:r>
        <w:t xml:space="preserve">Für die Rechtsverhältnisse der bisherigen Bundesbeauftragten für die Unterlagen des Staatssicherheitsdienstes der ehemaligen Deutschen Demokratischen Republik und des bei Inkrafttreten dieses Gesetzes aufgrund der Regelungen in Anlage I Kapitel II Sachgebiet B Abschnitt II Nummer 2 Buchstabe b des Einigungsvertrages vom 31. August 1990 (BGBl. 1990 II S. 885, 912) vorhandenen Amtsinhabers ist § 36 Absatz 4 bis 6 in der Fassung der Bekanntmachung vom 18. Februar 2007 (BGBl. I S. 162), das zuletzt durch Artikel 164 der Verordnung vom 19. Juni 2020 (BGBl. I S. 1328) geändert worden ist, weiter anzuwenden.</w:t>
      </w:r>
    </w:p>
    <w:p>
      <w:r>
        <w:rPr>
          <w:color w:val="555555"/>
          <w:sz w:val="17"/>
        </w:rPr>
        <w:t xml:space="preserve">Zitiervorschlag: § 47 StUG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