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StUG — Strafvorschriften</w:t>
      </w:r>
    </w:p>
    <w:p>
      <w:r>
        <w:rPr>
          <w:color w:val="555555"/>
          <w:sz w:val="18"/>
        </w:rPr>
        <w:t xml:space="preserve">Stasi-Unterlagen-Gesetz</w:t>
      </w:r>
    </w:p>
    <w:p>
      <w:r>
        <w:rPr>
          <w:color w:val="555555"/>
          <w:sz w:val="18"/>
        </w:rPr>
        <w:t xml:space="preserve">Stand: 23.10.2021 (konsolidierte Textfassung, kein amtliches Inkrafttretensdatum)</w:t>
      </w:r>
    </w:p>
    <w:p>
      <w:r>
        <w:t xml:space="preserve">Wer von diesem Gesetz geschützte Originalunterlagen oder Duplikate von Originalunterlagen mit personenbezogenen Informationen über Betroffene oder Dritte ganz oder in wesentlichen Teilen im Wortlaut öffentlich mitteilt, wird mit Freiheitsstrafe bis zu drei Jahren oder mit Geldstrafe bestraft. Dies gilt nicht, wenn der Betroffene oder Dritte eingewilligt hat.</w:t>
      </w:r>
    </w:p>
    <w:p>
      <w:r>
        <w:rPr>
          <w:color w:val="555555"/>
          <w:sz w:val="17"/>
        </w:rPr>
        <w:t xml:space="preserve">Zitiervorschlag: § 44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