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StUG — Vorrang dieses Gesetzes</w:t>
      </w:r>
    </w:p>
    <w:p>
      <w:r>
        <w:rPr>
          <w:color w:val="555555"/>
          <w:sz w:val="18"/>
        </w:rPr>
        <w:t xml:space="preserve">Stasi-Unterlagen-Gesetz</w:t>
      </w:r>
    </w:p>
    <w:p>
      <w:r>
        <w:rPr>
          <w:color w:val="555555"/>
          <w:sz w:val="18"/>
        </w:rPr>
        <w:t xml:space="preserve">Stand: 23.10.2021 (konsolidierte Textfassung, kein amtliches Inkrafttretensdatum)</w:t>
      </w:r>
    </w:p>
    <w:p>
      <w:r>
        <w:t xml:space="preserve">(1) Die Regelungen dieses Gesetzes gehen Vorschriften über die Zulässigkeit der Übermittlung personenbezogener Informationen in anderen Gesetzen vor. Das Bundesdatenschutzgesetz findet mit Ausnahme der §§ 14 bis 16 des Bundesdatenschutzgesetzes keine Anwendung, soweit nicht in § 6 Absatz 9 dieses Gesetzes etwas anderes bestimmt ist.</w:t>
      </w:r>
    </w:p>
    <w:p>
      <w:r>
        <w:t xml:space="preserve">(2) Die Rechte betroffener Personen nach Artikel 15, 16, 18 Absatz 1 Buchstabe a, b und d sowie den Artikeln 19 bis 21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werden nur nach Maßgabe dieses Gesetzes gewährt.</w:t>
      </w:r>
    </w:p>
    <w:p>
      <w:r>
        <w:rPr>
          <w:color w:val="555555"/>
          <w:sz w:val="17"/>
        </w:rPr>
        <w:t xml:space="preserve">Zitiervorschlag: § 43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