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StUG — Maßnahmen zur Sicherung der Unterlagen</w:t>
      </w:r>
    </w:p>
    <w:p>
      <w:r>
        <w:rPr>
          <w:color w:val="555555"/>
          <w:sz w:val="18"/>
        </w:rPr>
        <w:t xml:space="preserve">Stasi-Unterlagen-Gesetz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Das Bundesarchiv trifft die organisatorischen und technischen Maßnahmen, die erforderlich sind, um die Unterlagen gegen unbefugten Zugriff zu sichern.</w:t>
      </w:r>
    </w:p>
    <w:p>
      <w:r>
        <w:t xml:space="preserve">(2) Es ist insbesondere sicherzustellen, dass</w:t>
      </w:r>
    </w:p>
    <w:p>
      <w:pPr>
        <w:ind w:left="420"/>
      </w:pPr>
      <w:r>
        <w:t xml:space="preserve">1. die Mitarbeiter des Bundesarchivs auf Unterlagen und Datenverarbeitungssysteme ausschließlich im Rahmen ihrer Aufgabenzuweisung zugreifen können und jeder Zugriff auf Unterlagen unter Angabe des Anlasses protokolliert wird,</w:t>
      </w:r>
    </w:p>
    <w:p>
      <w:pPr>
        <w:ind w:left="420"/>
      </w:pPr>
      <w:r>
        <w:t xml:space="preserve">2. die unbefugte Erstellung von archivischen Findmitteln und die unbefugte Eingabe von Informationen sowie die unbefugte Kenntnisnahme, Veränderung oder Löschung gespeicherter Informationen verhindert wird,</w:t>
      </w:r>
    </w:p>
    <w:p>
      <w:pPr>
        <w:ind w:left="420"/>
      </w:pPr>
      <w:r>
        <w:t xml:space="preserve">3. mindestens bis zum Ablauf von zehn Jahren nach Abschluss der Bearbeitung dokumentiert wird, welche Unterlagen oder Informationen aus Unterlagen zu welcher Zeit an wen herausgegeben oder übermittelt worden sind,</w:t>
      </w:r>
    </w:p>
    <w:p>
      <w:pPr>
        <w:ind w:left="420"/>
      </w:pPr>
      <w:r>
        <w:t xml:space="preserve">4. nachträglich feststell- und überprüfbar ist, welche Informationen zu welcher Zeit in Datenverarbeitungssysteme eingegeben worden sind,</w:t>
      </w:r>
    </w:p>
    <w:p>
      <w:pPr>
        <w:ind w:left="420"/>
      </w:pPr>
      <w:r>
        <w:t xml:space="preserve">5. Gebäude, in denen die Unterlagen des Staatssicherheitsdienstes untergebracht sind, gegen unbefugtes Eindringen geschützt sind,</w:t>
      </w:r>
    </w:p>
    <w:p>
      <w:pPr>
        <w:ind w:left="420"/>
      </w:pPr>
      <w:r>
        <w:t xml:space="preserve">6. Unbefugte keinen Zugang zu den Archiven und zu Datenverarbeitungssystemen, mit denen Informationen aus den Unterlagen verarbeitet werden, erhalten,</w:t>
      </w:r>
    </w:p>
    <w:p>
      <w:pPr>
        <w:ind w:left="420"/>
      </w:pPr>
      <w:r>
        <w:t xml:space="preserve">7. Unterlagen nicht unbefugt gelesen, kopiert, verändert, vernichtet oder entfernt werden können,</w:t>
      </w:r>
    </w:p>
    <w:p>
      <w:pPr>
        <w:ind w:left="420"/>
      </w:pPr>
      <w:r>
        <w:t xml:space="preserve">8. Unterlagen und Datenträger beim Transport nicht unbefugt gelesen, kopiert, verändert, gelöscht oder vernichtet werden können,</w:t>
      </w:r>
    </w:p>
    <w:p>
      <w:pPr>
        <w:ind w:left="420"/>
      </w:pPr>
      <w:r>
        <w:t xml:space="preserve">9. die innerbehördliche Organisation insgesamt so gestaltet ist, dass sie den besonderen Anforderungen des Datenschutzes gerecht wird.</w:t>
      </w:r>
    </w:p>
    <w:p>
      <w:r>
        <w:rPr>
          <w:color w:val="555555"/>
          <w:sz w:val="17"/>
        </w:rPr>
        <w:t xml:space="preserve">Zitiervorschlag: § 40 StUG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