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StUG — Verwendung von Unterlagen für die politische und historische Aufarbeitung</w:t>
      </w:r>
    </w:p>
    <w:p>
      <w:r>
        <w:rPr>
          <w:color w:val="555555"/>
          <w:sz w:val="18"/>
        </w:rPr>
        <w:t xml:space="preserve">Stasi-Unterlagen-Gesetz</w:t>
      </w:r>
    </w:p>
    <w:p>
      <w:r>
        <w:rPr>
          <w:color w:val="555555"/>
          <w:sz w:val="18"/>
        </w:rPr>
        <w:t xml:space="preserve">Stand: 01.01.2023 (konsolidierte Textfassung, kein amtliches Inkrafttretensdatum)</w:t>
      </w:r>
    </w:p>
    <w:p>
      <w:r>
        <w:t xml:space="preserve">(1) Für die Forschung zum Zwecke der politischen und historischen Aufarbeitung der Tätigkeit des Staatssicherheitsdienstes oder der Herrschaftsmechanismen der ehemaligen Deutschen Demokratischen Republik oder der ehemaligen Sowjetischen Besatzungszone sowie für Zwecke der politischen Bildung stellt das Bundesarchiv auf Antrag folgende Unterlagen zur Verfügung:</w:t>
      </w:r>
    </w:p>
    <w:p>
      <w:pPr>
        <w:ind w:left="420"/>
      </w:pPr>
      <w:r>
        <w:t xml:space="preserve">1. Unterlagen, die keine personenbezogenen Informationen enthalten,</w:t>
      </w:r>
    </w:p>
    <w:p>
      <w:pPr>
        <w:ind w:left="420"/>
      </w:pPr>
      <w:r>
        <w:t xml:space="preserve">2. Duplikate von Unterlagen, in denen die personenbezogenen Informationen anonymisiert worden sind, es sei denn, die Informationen sind offenkundig,</w:t>
      </w:r>
    </w:p>
    <w:p>
      <w:pPr>
        <w:ind w:left="420"/>
      </w:pPr>
      <w:r>
        <w:t xml:space="preserve">3. Unterlagen mit personenbezogenen Informationen über</w:t>
      </w:r>
    </w:p>
    <w:p>
      <w:pPr>
        <w:ind w:left="780"/>
      </w:pPr>
      <w:r>
        <w:t xml:space="preserve">– Mitarbeiter des Staatssicherheitsdienstes, soweit es sich nicht um Tätigkeiten für den Staatssicherheitsdienst vor Vollendung des 18. Lebensjahres gehandelt hat, oder</w:t>
      </w:r>
    </w:p>
    <w:p>
      <w:pPr>
        <w:ind w:left="780"/>
      </w:pPr>
      <w:r>
        <w:t xml:space="preserve">– Begünstigte des Staatssicherheitsdienstes,</w:t>
      </w:r>
    </w:p>
    <w:p>
      <w:pPr>
        <w:ind w:left="420"/>
      </w:pPr>
      <w:r>
        <w:t xml:space="preserve">4. Unterlagen mit personenbezogenen Informationen über Personen der Zeitgeschichte, Inhaber politischer Funktionen oder Amtsträger, soweit es sich um Informationen handelt, die ihre zeitgeschichtliche Rolle, Funktions- oder Amtsausübung betreffen,</w:t>
      </w:r>
    </w:p>
    <w:p>
      <w:pPr>
        <w:ind w:left="420"/>
      </w:pPr>
      <w:r>
        <w:t xml:space="preserve">5. Unterlagen mit anderen personenbezogenen Informationen, wenn die schriftlichen Einwilligungen der betreffenden Personen vorgelegt werden; die Einwilligungen müssen den Antragsteller, das Vorhaben und die durchführenden Personen bezeichnen,</w:t>
      </w:r>
    </w:p>
    <w:p>
      <w:pPr>
        <w:ind w:left="420"/>
      </w:pPr>
      <w:r>
        <w:t xml:space="preserve">6. Unterlagen mit personenbezogenen Informationen zu Verstorbenen, deren Tod 30 Jahre zurückliegt; diese Schutzfrist kann auf zehn Jahre verkürzt werden, wenn die Benutzung für ein wissenschaftliches Forschungsvorhaben oder zur Wahrnehmung berechtigter Belange erforderlich ist und überwiegende schutzwürdige Belange nicht beeinträchtigt werden; ist das Todesjahr nicht oder nur mit unvertretbarem Aufwand festzustellen, endet die Schutzfrist 110 Jahre nach der Geburt; die Nummern 1 bis 5 bleiben unberührt,</w:t>
      </w:r>
    </w:p>
    <w:p>
      <w:pPr>
        <w:ind w:left="420"/>
      </w:pPr>
      <w:r>
        <w:t xml:space="preserve">7. Unterlagen mit personenbezogenen Informationen darüber hinaus, soweit</w:t>
      </w:r>
    </w:p>
    <w:p>
      <w:pPr>
        <w:ind w:left="780"/>
      </w:pPr>
      <w:r>
        <w:t xml:space="preserve">a) dies erforderlich ist für die Durchführung der wissenschaftlichen Forschungsarbeit an Hochschulen, an anderen Forschungseinrichtungen und bei den Landesbeauftragten zur Aufarbeitung der SED-Diktatur und der Folgen der kommunistischen Diktatur oder für die Erstellung von Gutachten, Berichten und Stellungnahmen im Auftrag des Deutschen Bundestages durch die Bundesbeauftragte oder den Bundesbeauftragten für die Opfer der SED-Diktatur beim Deutschen Bundestag,</w:t>
      </w:r>
    </w:p>
    <w:p>
      <w:pPr>
        <w:ind w:left="780"/>
      </w:pPr>
      <w:r>
        <w:t xml:space="preserve">b) eine Nutzung anonymisierter Informationen zu diesem Zweck nicht möglich oder die Anonymisierung mit einem unverhältnismäßigen Aufwand verbunden ist und</w:t>
      </w:r>
    </w:p>
    <w:p>
      <w:pPr>
        <w:ind w:left="780"/>
      </w:pPr>
      <w:r>
        <w:t xml:space="preserve">c) der Empfänger der Informationen Amtsträger oder nach dem Verpflichtungsgesetz förmlich verpflichtet worden ist.</w:t>
      </w:r>
    </w:p>
    <w:p>
      <w:r>
        <w:t xml:space="preserve">Unterlagen mit personenbezogenen Informationen nach Satz 1 Nummer 3, 4 und 7 dürfen nur zur Verfügung gestellt werden, soweit durch deren Verwendung keine überwiegenden schutzwürdigen Interessen der dort genannten Personen beeinträchtigt werden. Bei der Abwägung ist insbesondere zu berücksichtigen, ob die Informationserhebung erkennbar auf einer Menschenrechtsverletzung beruht.</w:t>
      </w:r>
    </w:p>
    <w:p>
      <w:r>
        <w:t xml:space="preserve">(2) Unterlagen, die sich nach § 2 Absatz 2 Nummer 3 Buchstabe b bis d in besonderer Verwahrung befinden, dürfen nur mit Einwilligung des Bundesministers des Innern, für Bau und Heimat verwendet werden.</w:t>
      </w:r>
    </w:p>
    <w:p>
      <w:r>
        <w:t xml:space="preserve">(3) Personenbezogene Informationen dürfen nur veröffentlicht werden, wenn</w:t>
      </w:r>
    </w:p>
    <w:p>
      <w:pPr>
        <w:ind w:left="420"/>
      </w:pPr>
      <w:r>
        <w:t xml:space="preserve">1. diese offenkundig sind,</w:t>
      </w:r>
    </w:p>
    <w:p>
      <w:pPr>
        <w:ind w:left="420"/>
      </w:pPr>
      <w:r>
        <w:t xml:space="preserve">2. es sich um Informationen handelt über</w:t>
      </w:r>
    </w:p>
    <w:p>
      <w:pPr>
        <w:ind w:left="780"/>
      </w:pPr>
      <w:r>
        <w:t xml:space="preserve">– Mitarbeiter des Staatssicherheitsdienstes, soweit diese nicht Tätigkeiten für den Staatssicherheitsdienst vor Vollendung des 18. Lebensjahres betreffen, oder</w:t>
      </w:r>
    </w:p>
    <w:p>
      <w:pPr>
        <w:ind w:left="780"/>
      </w:pPr>
      <w:r>
        <w:t xml:space="preserve">– Begünstigte des Staatssicherheitsdienstes,</w:t>
      </w:r>
    </w:p>
    <w:p>
      <w:pPr>
        <w:ind w:left="420"/>
      </w:pPr>
      <w:r>
        <w:t xml:space="preserve">3. es sich um Informationen handelt über Personen der Zeitgeschichte, Inhaber politischer Funktionen oder Amtsträger, soweit diese ihre zeitgeschichtliche Rolle, Funktions- oder Amtsausübung betreffen, oder</w:t>
      </w:r>
    </w:p>
    <w:p>
      <w:pPr>
        <w:ind w:left="420"/>
      </w:pPr>
      <w:r>
        <w:t xml:space="preserve">4. die Personen, über die personenbezogene Informationen veröffentlicht werden sollen, eingewilligt haben,</w:t>
      </w:r>
    </w:p>
    <w:p>
      <w:pPr>
        <w:ind w:left="420"/>
      </w:pPr>
      <w:r>
        <w:t xml:space="preserve">5. es sich um Informationen über Verstorbene handelt, deren Tod 30 Jahre zurückliegt; diese Schutzfrist kann auf zehn Jahre verkürzt werden, wenn die Benutzung für ein wissenschaftliches Forschungsvorhaben oder zur Wahrnehmung berechtigter Belange erforderlich ist und überwiegende schutzwürdige Belange nicht beeinträchtigt werden; ist das Todesjahr nicht oder nur mit unvertretbarem Aufwand festzustellen, endet die Schutzfrist 110 Jahre nach der Geburt; die Nummern 1 bis 4 bleiben unberührt.</w:t>
      </w:r>
    </w:p>
    <w:p>
      <w:r>
        <w:t xml:space="preserve">Durch die Veröffentlichung der in Satz 1 Nummer 2 und 3 genannten personenbezogenen Informationen dürfen keine überwiegenden schutzwürdigen Interessen der genannten Personen beeinträchtigt werden. Bei der Abwägung ist insbesondere zu berücksichtigen, ob die Informationserhebung erkennbar auf einer Menschenrechtsverletzung beruht. Personenbezogene Informationen nach Satz 1 Nummer 5 dürfen nur veröffentlicht werden, soweit durch die Veröffentlichung keine überwiegenden schutzwürdigen Interessen anderer Personen beeinträchtigt werden.</w:t>
      </w:r>
    </w:p>
    <w:p>
      <w:r>
        <w:t xml:space="preserve">(4) Die Absätze 1 und 3 gelten sinngemäß auch für Zwecke der politischen und historischen Aufarbeitung der nationalsozialistischen Vergangenheit.</w:t>
      </w:r>
    </w:p>
    <w:p>
      <w:r>
        <w:rPr>
          <w:color w:val="555555"/>
          <w:sz w:val="17"/>
        </w:rPr>
        <w:t xml:space="preserve">Zitiervorschlag: § 32 StUG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