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StUG — Benachrichtigung von der Übermittlung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Werden vom Bundesarchiv personenbezogene Informationen über einen Betroffenen nach den §§ 21 und 27 Absatz 1 übermittelt, sind dem Betroffenen die Art der übermittelten Informationen und deren Empfänger mitzuteilen.</w:t>
      </w:r>
    </w:p>
    <w:p>
      <w:r>
        <w:t xml:space="preserve">(2) Eine Pflicht zur Benachrichtigung besteht nicht, wenn der Betroffene auf andere Weise Kenntnis von der Übermittlung erlangt hat oder die Benachrichtigung nur mit unvertretbarem Aufwand möglich wäre.</w:t>
      </w:r>
    </w:p>
    <w:p>
      <w:r>
        <w:t xml:space="preserve">(3) Eine Benachrichtigung unterbleibt während des Zeitraums, für den die zuständige oberste Bundes- oder Landesbehörde gegenüber dem Bundesarchiv festgestellt hat, dass das Bekanntwerden der Übermittlung die öffentliche Sicherheit gefährden oder sonst dem Wohle des Bundes oder eines Landes Nachteile bereiten würde.</w:t>
      </w:r>
    </w:p>
    <w:p>
      <w:r>
        <w:rPr>
          <w:color w:val="555555"/>
          <w:sz w:val="17"/>
        </w:rPr>
        <w:t xml:space="preserve">Zitiervorschlag: § 30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