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StUG — Verwendung der dem Staatssicherheitsdienst überlassenen Akten von Gerichten und Staatsanwaltschaften</w:t>
      </w:r>
    </w:p>
    <w:p>
      <w:r>
        <w:rPr>
          <w:color w:val="555555"/>
          <w:sz w:val="18"/>
        </w:rPr>
        <w:t xml:space="preserve">Stasi-Unterlagen-Gesetz</w:t>
      </w:r>
    </w:p>
    <w:p>
      <w:r>
        <w:rPr>
          <w:color w:val="555555"/>
          <w:sz w:val="18"/>
        </w:rPr>
        <w:t xml:space="preserve">Stand: 23.10.2021 (konsolidierte Textfassung, kein amtliches Inkrafttretensdatum)</w:t>
      </w:r>
    </w:p>
    <w:p>
      <w:r>
        <w:t xml:space="preserve">(1) Für die Verwendung der Akten von Gerichten und Staatsanwaltschaften, die das Bundesarchiv nach diesem Gesetz verwahrt, gelten anstelle der §§ 19 bis 21, 23, 25 bis 30 und 43 die jeweiligen gesetzlichen Verfahrensordnungen. § 5 Absatz 1 ist nicht anzuwenden, soweit es sich um Straftaten nach § 23 Absatz 1 Nummer 1 handelt.</w:t>
      </w:r>
    </w:p>
    <w:p>
      <w:r>
        <w:t xml:space="preserve">(2) Das Bundesarchiv gibt auf Anforderung die in Absatz 1 Satz 1 genannten Unterlagen an Gerichte, Staatsanwaltschaften und Polizeibehörden, soweit sie als Hilfsorgane der Staatsanwaltschaft handeln, heraus. Die Unterlagen sind unverzüglich zurückzugeben, sobald sie für den Verwendungszweck nicht mehr benötigt werden.</w:t>
      </w:r>
    </w:p>
    <w:p>
      <w:r>
        <w:rPr>
          <w:color w:val="555555"/>
          <w:sz w:val="17"/>
        </w:rPr>
        <w:t xml:space="preserve">Zitiervorschlag: § 24 StUG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