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StUG — Recht von Mitarbeitern des Staatssicherheitsdienstes auf Auskunft, Einsicht und Herausgabe</w:t>
      </w:r>
    </w:p>
    <w:p>
      <w:r>
        <w:rPr>
          <w:color w:val="555555"/>
          <w:sz w:val="18"/>
        </w:rPr>
        <w:t xml:space="preserve">Stasi-Unterlagen-Gesetz</w:t>
      </w:r>
    </w:p>
    <w:p>
      <w:r>
        <w:rPr>
          <w:color w:val="555555"/>
          <w:sz w:val="18"/>
        </w:rPr>
        <w:t xml:space="preserve">Stand: 23.10.2021 (konsolidierte Textfassung, kein amtliches Inkrafttretensdatum)</w:t>
      </w:r>
    </w:p>
    <w:p>
      <w:r>
        <w:t xml:space="preserve">(1) Mitarbeitern des Staatssicherheitsdienstes ist auf Antrag Auskunft über ihre personenbezogenen Informationen zu erteilen, die in den zu ihrer Person geführten Unterlagen enthalten sind.</w:t>
      </w:r>
    </w:p>
    <w:p>
      <w:r>
        <w:t xml:space="preserve">(2) Die Auskunft kann außerdem eine Umschreibung von Art und Umfang der Tätigkeit, des Personenkreises, über den berichtet worden ist, sowie der Häufigkeit der Berichterstattung umfassen.</w:t>
      </w:r>
    </w:p>
    <w:p>
      <w:r>
        <w:t xml:space="preserve">(3) Dem Mitarbeiter ist auf Antrag Einsicht in die zu seiner Person geführten Unterlagen zu gewähren. § 12 Absatz 4 Satz 2 Nummer 2 gilt nicht.</w:t>
      </w:r>
    </w:p>
    <w:p>
      <w:r>
        <w:t xml:space="preserve">(4) Dem Mitarbeiter kann auf Antrag Auskunft aus den von ihm erstellten Berichten erteilt und Einsicht in diese gewährt werden, wenn er glaubhaft macht, dass er hieran ein rechtliches Interesse hat. Dies gilt nicht, wenn das berechtigte Interesse Betroffener oder Dritter an der Geheimhaltung überwiegt.</w:t>
      </w:r>
    </w:p>
    <w:p>
      <w:r>
        <w:t xml:space="preserve">(5) Dem Mitarbeiter sind auf Antrag Duplikate der zu seiner Person geführten Unterlagen herauszugeben. In den Duplikaten sind die personenbezogenen Informationen über Betroffene oder Dritte zu anonymisieren.</w:t>
      </w:r>
    </w:p>
    <w:p>
      <w:r>
        <w:rPr>
          <w:color w:val="555555"/>
          <w:sz w:val="17"/>
        </w:rPr>
        <w:t xml:space="preserve">Zitiervorschlag: § 16 StUG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