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StTbV — Ausübung der Anordnungsbefugnis</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(1) Ein Transportbegleitungsunternehmen hat zur Gewährleistung der sicheren und geordneten Durchführung eines Großraum- oder Schwertransportes die Befugnis, den Verkehr durch die eingesetzten Transportbegleiter vor Ort zu regeln:</w:t>
      </w:r>
    </w:p>
    <w:p>
      <w:pPr>
        <w:ind w:left="420"/>
      </w:pPr>
      <w:r>
        <w:t xml:space="preserve">1. durch Verkehrszeichen nach Maßgabe des § 45 Absatz 1 Satz 1, Absatz 3 Satz 1 und Absatz 9 Satz 1 bis 3 der Straßenverkehrs-Ordnung und</w:t>
      </w:r>
    </w:p>
    <w:p>
      <w:pPr>
        <w:ind w:left="420"/>
      </w:pPr>
      <w:r>
        <w:t xml:space="preserve">2. durch Zeichen, Weisungen oder durch Bedienung von Lichtzeichenanlagen nach Maßgabe der §§ 36a und 44 Absatz 2 Satz 1 der Straßenverkehrs-Ordnung.</w:t>
      </w:r>
    </w:p>
    <w:p>
      <w:r>
        <w:t xml:space="preserve">(2) Verkehrszeichen sind durch lichttechnische Wechselverkehrszeichengeber bekanntzugegeben, die am Begleitfahrzeug angebracht sind. Sie gehen den Anordnungen der ortsfest angebrachten Verkehrszeichen vor.</w:t>
      </w:r>
    </w:p>
    <w:p>
      <w:r>
        <w:t xml:space="preserve">(3) Transportbegleiter sind verpflichtet, die jeweilige Polizeidienststelle zwei Stunden vor dem geplanten Beginn eines Transportes und zwei Stunden vor dem geplanten Erreichen des jeweiligen Zuständigkeitsbereichs über den Zeitpunkt des Transportbeginns oder das Erreichen des jeweiligen Zuständigkeitsbereichs zu unterrichten und die voraussichtliche Durchfahrtszeit anzugeben.</w:t>
      </w:r>
    </w:p>
    <w:p>
      <w:r>
        <w:t xml:space="preserve">(4) Das Transportbegleitungsunternehmen darf die Anordnungsbefugnis nur ausüben, wenn es selbst und seine eingesetzten Transportbegleiter unabhängig von den Interessen sonstiger am jeweiligen Großraum- oder Schwertransport beteiligter Personen oder Unternehmen sind. Das Transportbegleitungsunternehmen muss dies vor jeder Transportbegleitung gegenüber der für den jeweiligen Transport zuständigen Behörde schriftlich oder elektronisch erklären.</w:t>
      </w:r>
    </w:p>
    <w:p>
      <w:r>
        <w:t xml:space="preserve">(5) Der Vorrang der Zeichen und Weisungen der Polizei nach § 36a Satz 2 in Verbindung mit § 36 Absatz 1 der Straßenverkehrs-Ordnung bleibt unberührt.</w:t>
      </w:r>
    </w:p>
    <w:p>
      <w:r>
        <w:rPr>
          <w:color w:val="555555"/>
          <w:sz w:val="17"/>
        </w:rPr>
        <w:t xml:space="preserve">Zitiervorschlag: § 3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