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StTbV — Übertragung der Anordnungsbefugnis bei der Transportbegleitung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(1) Die nach Landesrecht zuständige Behörde kann einem Unternehmen für die Transportbegleitung die Anordnungsbefugnis übertragen.</w:t>
      </w:r>
    </w:p>
    <w:p>
      <w:r>
        <w:t xml:space="preserve">(2) Die Übertragung erfolgt auf Antrag und ist nach Maßgabe des § 6 Absatz 1 zu befristen. Der Antrag ist bei der nach Landesrecht zuständigen Behörde des Landes zu stellen, in dem der Antragsteller</w:t>
      </w:r>
    </w:p>
    <w:p>
      <w:pPr>
        <w:ind w:left="420"/>
      </w:pPr>
      <w:r>
        <w:t xml:space="preserve">1. seinen Sitz hat oder</w:t>
      </w:r>
    </w:p>
    <w:p>
      <w:pPr>
        <w:ind w:left="420"/>
      </w:pPr>
      <w:r>
        <w:t xml:space="preserve">2. eine Zweigniederlassung hat, bei der eine Pflicht zur Eintragung in das Handels-, Genossenschafts- oder Partnerschaftsregister besteht.</w:t>
      </w:r>
    </w:p>
    <w:p>
      <w:r>
        <w:t xml:space="preserve">(3) Die Übertragung hat mit den Nebenbestimmungen zu erfolgen, die erforderlich sind, um eine ordnungsgemäße Erfüllung der Aufgaben durch das Transportbegleitungsunternehmen zu gewährleisten.</w:t>
      </w:r>
    </w:p>
    <w:p>
      <w:r>
        <w:t xml:space="preserve">(4) Auf die in § 3 Absatz 3 und 4 genannten Pflichten ist im Übertragungsbescheid hinzuweisen.</w:t>
      </w:r>
    </w:p>
    <w:p>
      <w:r>
        <w:rPr>
          <w:color w:val="555555"/>
          <w:sz w:val="17"/>
        </w:rPr>
        <w:t xml:space="preserve">Zitiervorschlag: § 2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