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StTbV — Evaluierung</w:t>
      </w:r>
    </w:p>
    <w:p>
      <w:r>
        <w:rPr>
          <w:color w:val="555555"/>
          <w:sz w:val="18"/>
        </w:rPr>
        <w:t xml:space="preserve">Straßenverkehr-Transportbegleitungsverordnung</w:t>
      </w:r>
    </w:p>
    <w:p>
      <w:r>
        <w:rPr>
          <w:color w:val="555555"/>
          <w:sz w:val="18"/>
        </w:rPr>
        <w:t xml:space="preserve">Stand: 07.09.2023 (konsolidierte Textfassung, kein amtliches Inkrafttretensdatum)</w:t>
      </w:r>
    </w:p>
    <w:p>
      <w:r>
        <w:t xml:space="preserve">Das Bundesministerium für Digitales und Verkehr evaluiert die Regelungen dieser Verordnung bis zum 31. Dezember 2028.</w:t>
      </w:r>
    </w:p>
    <w:p>
      <w:r>
        <w:rPr>
          <w:color w:val="555555"/>
          <w:sz w:val="17"/>
        </w:rPr>
        <w:t xml:space="preserve">Zitiervorschlag: § 14 StTbV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https://recht.nulegal.eu/gesetze/StTbV/14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