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StTbV — Rücknahme einer Übertragung</w:t>
      </w:r>
    </w:p>
    <w:p>
      <w:r>
        <w:rPr>
          <w:color w:val="555555"/>
          <w:sz w:val="18"/>
        </w:rPr>
        <w:t xml:space="preserve">Straßenverkehr-Transportbegleitungsverordnung</w:t>
      </w:r>
    </w:p>
    <w:p>
      <w:r>
        <w:rPr>
          <w:color w:val="555555"/>
          <w:sz w:val="18"/>
        </w:rPr>
        <w:t xml:space="preserve">Stand: 07.09.2023 (konsolidierte Textfassung, kein amtliches Inkrafttretensdatum)</w:t>
      </w:r>
    </w:p>
    <w:p>
      <w:r>
        <w:t xml:space="preserve">Eine Übertragung ist durch die nach Landesrecht zuständige Behörde zurückzunehmen, wenn das Transportbegleitungsunternehmen die Übertragung erwirkt hat:</w:t>
      </w:r>
    </w:p>
    <w:p>
      <w:pPr>
        <w:ind w:left="420"/>
      </w:pPr>
      <w:r>
        <w:t xml:space="preserve">1. durch arglistige Täuschung, Drohung oder Bestechung oder</w:t>
      </w:r>
    </w:p>
    <w:p>
      <w:pPr>
        <w:ind w:left="420"/>
      </w:pPr>
      <w:r>
        <w:t xml:space="preserve">2. durch eine falsche oder irreführende Angabe in Bezug auf das Erfüllen der Anforderungen nach den §§ 4 und 5 Absatz 1 bis 3, auf Grund derer die Übertragung erteilt wurde.</w:t>
      </w:r>
    </w:p>
    <w:p>
      <w:r>
        <w:t xml:space="preserve">Im Übrigen bleiben die Vorschriften über die Rücknahme von Verwaltungsakten unberührt.</w:t>
      </w:r>
    </w:p>
    <w:p>
      <w:r>
        <w:rPr>
          <w:color w:val="555555"/>
          <w:sz w:val="17"/>
        </w:rPr>
        <w:t xml:space="preserve">Zitiervorschlag: § 11 StTbV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https://recht.nulegal.eu/gesetze/StTbV/11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