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StStatG 1995 — Auskunftspflicht</w:t>
      </w:r>
    </w:p>
    <w:p>
      <w:r>
        <w:rPr>
          <w:color w:val="555555"/>
          <w:sz w:val="18"/>
        </w:rPr>
        <w:t xml:space="preserve">Gesetz über Steuerstatistiken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Statistiken nach diesem Gesetz besteht Auskunftspflicht. Auskunftspflichtig sind die Finanzbehörden der Länder und die zentrale Stelle.</w:t>
      </w:r>
    </w:p>
    <w:p>
      <w:r>
        <w:t xml:space="preserve">(2) Für die Statistik nach § 1 Absatz 1 Nummer 2 und die Aufgaben nach § 1 Absatz 2 übermitteln die Finanzbehörden der Länder den statistischen Ämtern der Länder die elektronischen Lohnsteuerbescheinigungen und den amtlichen Gemeindeschlüssel. Dieser wird nach dem Wohnsitz im Sinn des § 7 Absatz 2 des Zerlegungsgesetzes ermittelt. Die elektronischen Lohnsteuerbescheinigungen sind zu löschen, sobald sie für die in Satz 1 genannten Zwecke nicht mehr benötigt werden.</w:t>
      </w:r>
    </w:p>
    <w:p>
      <w:r>
        <w:rPr>
          <w:color w:val="555555"/>
          <w:sz w:val="17"/>
        </w:rPr>
        <w:t xml:space="preserve">Zitiervorschlag: § 6 StStatG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https://recht.nulegal.eu/gesetze/StStatG%201995/6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