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StStatG 1995 — Hilfsmerkmale</w:t>
      </w:r>
    </w:p>
    <w:p>
      <w:r>
        <w:rPr>
          <w:color w:val="555555"/>
          <w:sz w:val="18"/>
        </w:rPr>
        <w:t xml:space="preserve">Gesetz über Steuerstatistiken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Als Hilfsmerkmale werden erfasst:</w:t>
      </w:r>
    </w:p>
    <w:p>
      <w:pPr>
        <w:ind w:left="420"/>
      </w:pPr>
      <w:r>
        <w:t xml:space="preserve">1. die Nummern der Finanzämter,</w:t>
      </w:r>
    </w:p>
    <w:p>
      <w:pPr>
        <w:ind w:left="420"/>
      </w:pPr>
      <w:r>
        <w:t xml:space="preserve">2. die Steuernummern, die Identifikationsmerkmale nach § 139a Absatz 1 der Abgabenordnung und die Zulagen- und Vertragsnummern der Förderung nach § 10a des Einkommensteuergesetzes sowie die Aktenzeichen oder die Steuernummern für die Feststellung oder Festsetzung der Besteuerungsgrundlagen für Zwecke der Grundsteuer bei den Statistiken nach § 1 Absatz 1 Nummer 5 sowie die Registernummer, die Postleitzahl und der Ort des Registergerichts bei den Statistiken nach § 1 Absatz 1 Nummer 1 bis 3 und 6,</w:t>
      </w:r>
    </w:p>
    <w:p>
      <w:pPr>
        <w:ind w:left="420"/>
      </w:pPr>
      <w:r>
        <w:t xml:space="preserve">3. die Art des Festsetzungsverfahrens sowie der Tag der Veranlagung bei den Statistiken nach § 1 Absatz 1 Nummer 2 bis 4, 6 und 7,</w:t>
      </w:r>
    </w:p>
    <w:p>
      <w:pPr>
        <w:ind w:left="420"/>
      </w:pPr>
      <w:r>
        <w:t xml:space="preserve">4. die Art des Feststellungsverfahrens sowie der Tag der Bewertung bei den Statistiken nach § 1 Absatz 1 Nummer 5,</w:t>
      </w:r>
    </w:p>
    <w:p>
      <w:pPr>
        <w:ind w:left="420"/>
      </w:pPr>
      <w:r>
        <w:t xml:space="preserve">5. für Personengesellschaften und Gemeinschaften die Finanzamt- und Steuernummer sowie die Identifikationsmerkmale nach § 139a Absatz 1 der Abgabenordnung von den Beteiligten bei der Statistik nach § 1 Absatz 1 Nummer 2,</w:t>
      </w:r>
    </w:p>
    <w:p>
      <w:pPr>
        <w:ind w:left="420"/>
      </w:pPr>
      <w:r>
        <w:t xml:space="preserve">6. für Organgesellschaften die Finanzamt- und Steuernummer sowie die Identifikationsmerkmale nach § 139a Absatz 1 der Abgabenordnung des Organträgers bei den Statistiken nach § 1 Absatz 1 Nummer 3 und 6,</w:t>
      </w:r>
    </w:p>
    <w:p>
      <w:pPr>
        <w:ind w:left="420"/>
      </w:pPr>
      <w:r>
        <w:t xml:space="preserve">7. Postleitzahl, Ort, Ortsteil, Straße, Hausnummer oder Hausnummernspanne, Hausnummernzusatz,</w:t>
      </w:r>
    </w:p>
    <w:p>
      <w:pPr>
        <w:ind w:left="420"/>
      </w:pPr>
      <w:r>
        <w:t xml:space="preserve">8. die Finanzamt- und Steuernummer sowie die Identifikationsmerkmale nach § 139a Absatz 1 der Abgabenordnung von den Anspruchsberechtigten bei der Statistik nach § 1 Absatz 1 Nummer 9.</w:t>
      </w:r>
    </w:p>
    <w:p>
      <w:r>
        <w:t xml:space="preserve">Die Finanzamt- und Steuernummern, die Registernummer, die Postleitzahl und der Ort des Registergerichts sowie die Identifikationsmerkmale nach § 139a Absatz 1 der Abgabenordnung dürfen vom Statistischen Bundesamt und den statistischen Ämtern der Länder gespeichert werden.</w:t>
      </w:r>
    </w:p>
    <w:p>
      <w:r>
        <w:rPr>
          <w:color w:val="555555"/>
          <w:sz w:val="17"/>
        </w:rPr>
        <w:t xml:space="preserve">Zitiervorschlag: § 5 StStatG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https://recht.nulegal.eu/gesetze/StStatG%201995/5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