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StStatG 1995 — Fortgeltung des Steuergeheimnisses</w:t>
      </w:r>
    </w:p>
    <w:p>
      <w:r>
        <w:rPr>
          <w:color w:val="555555"/>
          <w:sz w:val="18"/>
        </w:rPr>
        <w:t xml:space="preserve">Gesetz über Steuerstatistiken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Pflicht zur Wahrung des Steuergeheimnisses bleibt für Personen, die in den statistischen Ämtern des Bundes und der Länder mit der Durchführung der Steuerstatistiken und den Aufgaben nach § 1 Abs. 2 bis 4 sowie nach § 9 betraut sind, unberührt.</w:t>
      </w:r>
    </w:p>
    <w:p>
      <w:r>
        <w:rPr>
          <w:color w:val="555555"/>
          <w:sz w:val="17"/>
        </w:rPr>
        <w:t xml:space="preserve">Zitiervorschlag: § 10 StStatG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https://recht.nulegal.eu/gesetze/StStatG%201995/10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