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StSWEAbkG</w:t>
      </w:r>
    </w:p>
    <w:p>
      <w:r>
        <w:rPr>
          <w:color w:val="555555"/>
          <w:sz w:val="18"/>
        </w:rPr>
        <w:t xml:space="preserve">Deutsch-schwedisches Steuerabkommen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Abkommen nach seinem Artikel 46 Abs. 2 in Kraft tritt, ist im Bundesgesetzblatt bekanntzugeben.</w:t>
      </w:r>
    </w:p>
    <w:p>
      <w:r>
        <w:rPr>
          <w:color w:val="555555"/>
          <w:sz w:val="17"/>
        </w:rPr>
        <w:t xml:space="preserve">Zitiervorschlag: Art 3 StSWEAbkG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https://recht.nulegal.eu/gesetze/StSWEAbkG/3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