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StRSaarEG — Inkrafttreten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dem Ablauf der Übergangszeit treten im Saarland in Kraft</w:t>
      </w:r>
    </w:p>
    <w:p>
      <w:pPr>
        <w:ind w:left="420"/>
      </w:pPr>
      <w:r>
        <w:t xml:space="preserve">1. das Gesetz über Bergmannsprämien vom 20. Dezember 1956 (Bundesgesetzbl. I S. 927),</w:t>
      </w:r>
    </w:p>
    <w:p>
      <w:pPr>
        <w:ind w:left="420"/>
      </w:pPr>
      <w:r>
        <w:t xml:space="preserve">2. die Verordnung zur Durchführung des Gesetzes über Bergmannsprämien (BergPDV) vom 25. Juni 1957 (Bundesgesetzbl. I S. 656)</w:t>
      </w:r>
    </w:p>
    <w:p>
      <w:r>
        <w:t xml:space="preserve">mit der Maßgabe, daß die Bergmannsprämie für jede volle Schicht gewährt wird, die nach Ablauf der Übergangszeit verfahren wird.</w:t>
      </w:r>
    </w:p>
    <w:p>
      <w:r>
        <w:rPr>
          <w:color w:val="555555"/>
          <w:sz w:val="17"/>
        </w:rPr>
        <w:t xml:space="preserve">Zitiervorschlag: § 86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