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StRSaarEG — Entrichtung und Anrechnung von Vorauszahlungen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22 des saarländischen Gewerbesteuergesetzes in der Fassung der Bekanntmachung vom 5. März 1958 (Amtsblatt des Saarlandes S. 277) in Franken festgesetzten Vorauszahlungen sind, umgerechnet in Deutsche Mark nach § 1 Abs. 3, an den in § 19 Abs. 1 des Gewerbesteuergesetzes bezeichneten Fälligkeitstagen weiter zu entrichten. Die erste danach in Deutsche Mark zu leistende Vorauszahlung wird jedoch frühestens zwei Wochen nach dem Eingliederungstag fällig.</w:t>
      </w:r>
    </w:p>
    <w:p>
      <w:r>
        <w:t xml:space="preserve">(2) Auf die Gewerbesteuerschuld für den Erhebungszeitraum 1959/60 (§ 80) werden die entrichteten Vorauszahlungen angerechnet, die in diesem Erhebungszeitraum fällig geworden sind.</w:t>
      </w:r>
    </w:p>
    <w:p>
      <w:r>
        <w:rPr>
          <w:color w:val="555555"/>
          <w:sz w:val="17"/>
        </w:rPr>
        <w:t xml:space="preserve">Zitiervorschlag: § 83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