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StRSaarEG — Steuerbefreiungen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Gewerbesteuer sind befreit</w:t>
      </w:r>
    </w:p>
    <w:p>
      <w:pPr>
        <w:ind w:left="420"/>
      </w:pPr>
      <w:r>
        <w:t xml:space="preserve">1. die Monopolverwaltungen des Saarlandes,</w:t>
      </w:r>
    </w:p>
    <w:p>
      <w:pPr>
        <w:ind w:left="420"/>
      </w:pPr>
      <w:r>
        <w:t xml:space="preserve">2. die Saarländische Rediskontbank, soweit sie Aufgaben staatswirtschaftlicher Art erfüllt,</w:t>
      </w:r>
    </w:p>
    <w:p>
      <w:pPr>
        <w:ind w:left="420"/>
      </w:pPr>
      <w:r>
        <w:t xml:space="preserve">3. die Saarland-Sport-Toto-GmbH, soweit sich ihr Geschäftsbereich auf Sportwetten und Lotto erstreckt.</w:t>
      </w:r>
    </w:p>
    <w:p>
      <w:r>
        <w:t xml:space="preserve">(2) Die Vorschrift des Absatzes 1 ist erstmals anzuwenden</w:t>
      </w:r>
    </w:p>
    <w:p>
      <w:pPr>
        <w:ind w:left="420"/>
      </w:pPr>
      <w:r>
        <w:t xml:space="preserve">1. bei der Gewerbesteuer nach dem Gewerbeertrag und dem Gewerbekapital für den Erhebungszeitraum 1959/60,</w:t>
      </w:r>
    </w:p>
    <w:p>
      <w:pPr>
        <w:ind w:left="420"/>
      </w:pPr>
      <w:r>
        <w:t xml:space="preserve">2. bei der Lohnsummensteuer für die Lohnsumme des Monats, in den der Eingliederungstag fällt.</w:t>
      </w:r>
    </w:p>
    <w:p>
      <w:r>
        <w:rPr>
          <w:color w:val="555555"/>
          <w:sz w:val="17"/>
        </w:rPr>
        <w:t xml:space="preserve">Zitiervorschlag: § 82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