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StRSaarEG — Gewerbeverlust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 des § 10a des Gewerbesteuergesetzes ist vorbehaltlich des § 51 Abs. 5 des D-Markbilanzgesetzes für das Saarland mit der Maßgabe anzuwenden, daß nur Gewerbeverluste aus Erhebungszeiträumen berücksichtigt werden, die nach dem Ablauf der Übergangszeit beginnen.</w:t>
      </w:r>
    </w:p>
    <w:p>
      <w:r>
        <w:t xml:space="preserve">(2) Unter der in § 55 Abs. 2 Satz 3 bezeichneten Voraussetzung können Steuerpflichtige, auf die die Vorschriften des D-Markbilanzgesetzes für das Saarland keine Anwendung finden, die noch nicht berücksichtigten Fehlbeträge aus Erhebungszeiträumen, die vor dem Eingliederungstag geendet haben, innerhalb des durch § 10a des Gewerbesteuergesetzes gegebenen zeitlichen Rahmen insoweit berücksichtigen, als sie durch die Inanspruchnahme des Teils I des Gesetzes über steuerliche Maßnahmen im Saarland (StMG) vom 12. Juni 1957 (Amtsblatt des Saarlandes S. 905) entstanden sind. Für die Umrechnung der Fehlbeträge in Deutsche Mark gilt § 1 Abs. 3 entsprechend.</w:t>
      </w:r>
    </w:p>
    <w:p>
      <w:r>
        <w:rPr>
          <w:color w:val="555555"/>
          <w:sz w:val="17"/>
        </w:rPr>
        <w:t xml:space="preserve">Zitiervorschlag: § 81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