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StRSaarEG — Begünstigung der Anschaffung oder Herstellung bestimmter Wirtschaftsgüter und der Vornahme bestimmter Baumaßnahmen durch Land- und Forstwirte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§§ 76 bis 78 der Einkommensteuer-Durchführungsverordnung sind erstmals auf die Wirtschaftsgüter und auf die Um- und Ausbauten an unbeweglichen Wirtschaftsgütern anzuwenden, die nach dem Ablauf der Übergangszeit angeschafft oder hergestellt werden.</w:t>
      </w:r>
    </w:p>
    <w:p>
      <w:r>
        <w:t xml:space="preserve">(2) Auf die Wirtschaftsgüter und auf die Um- und Ausbauten an unbeweglichen Wirtschaftsgütern, die bis zum Ablauf der Übergangszeit angeschafft oder hergestellt worden sind, sind die §§ 17a bis 17c der Einkommensteuer-Durchführungsverordnung (Saar) mit der Maßgabe weiter anzuwenden, daß die Abschreibungen nach den in Deutsche Mark umgerechneten Anschaffungs- oder Herstellungskosten zu bemessen sind; für die Umrechnung gilt § 1 Abs. 3 entsprechend.</w:t>
      </w:r>
    </w:p>
    <w:p>
      <w:r>
        <w:rPr>
          <w:color w:val="555555"/>
          <w:sz w:val="17"/>
        </w:rPr>
        <w:t xml:space="preserve">Zitiervorschlag: § 61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