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StRSaarEG — Entrichtung und Anrechnung von Vorauszahlungen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nach § 42 des Einkommensteuergesetzes (Saar), § 57 der Einkommensteuer-Durchführungsverordnung (Saar) in Franken festgesetzten Vorauszahlungen sind, umgerechnet in Deutsche Mark nach § 1 Abs. 3, an den in § 35 Abs. 1 des Einkommensteuergesetzes bezeichneten Fälligkeitstagen weiter zu entrichten. Die erste hiernach in Deutsche Mark zu leistende Vorauszahlung wird jedoch frühestens zwei Wochen nach dem Eingliederungstag fällig.</w:t>
      </w:r>
    </w:p>
    <w:p>
      <w:r>
        <w:t xml:space="preserve">(2) Auf die Einkommensteuerschuld für den Veranlagungszeitraum 1959/60 (§ 44) werden nur die entrichteten Vorauszahlungen angerechnet, die in diesem Veranlagungszeitraum fällig geworden sind.</w:t>
      </w:r>
    </w:p>
    <w:p>
      <w:r>
        <w:rPr>
          <w:color w:val="555555"/>
          <w:sz w:val="17"/>
        </w:rPr>
        <w:t xml:space="preserve">Zitiervorschlag: § 59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