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106 StRSaarEG — Überleitung</w:t>
      </w:r>
    </w:p>
    <w:p>
      <w:r>
        <w:rPr>
          <w:color w:val="555555"/>
          <w:sz w:val="18"/>
        </w:rPr>
        <w:t xml:space="preserve">Gesetz über die Einführung des deutschen Rechts auf dem Gebiete der Steuern, Zölle und Finanzmonopole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Bezugnahmen in § 25 Abs. 2, §§ 51, 78 Abs. 2 Nr. 9 und § 178 des Lastenausgleichsgesetzes in der geltenden Fassung auf den Geltungsbereich des Grundgesetzes und in § 10 der Zweiundzwanzigsten Durchführungsverordnung über Ausgleichsabgaben nach dem Lastenausgleichsgesetz vom 19. Juli 1958 (Bundesgesetzbl. I S. 526) auf den Geltungsbereich der Verordnung umfassen auch das Saarland. In den übrigen Fällen umfassen Bezugnahmen im Zweiten Teil des Lastenausgleichsgesetzes auf den Geltungsbereich des Grundgesetzes nicht das Saarland.</w:t>
      </w:r>
    </w:p>
    <w:p>
      <w:r>
        <w:t xml:space="preserve">(2) Von den Vorschriften des Zweiten Teils des Lastenausgleichsgesetzes in der geltenden Fassung und den hierzu ergangenen Rechtsverordnungen gelten im Saarland nur:</w:t>
      </w:r>
    </w:p>
    <w:p>
      <w:pPr>
        <w:ind w:left="420"/>
      </w:pPr>
      <w:r>
        <w:t xml:space="preserve">1. die Vorschriften über die Behandlung der Vermögensabgabe und der Kreditgewinnabgabe im Konkurs (§§ 63 und 180 des Lastenausgleichsgesetzes),</w:t>
      </w:r>
    </w:p>
    <w:p>
      <w:pPr>
        <w:ind w:left="420"/>
      </w:pPr>
      <w:r>
        <w:t xml:space="preserve">2. die Vorschriften über den Zeitwert der Vermögensabgabe (§ 77 des Lastenausgleichsgesetzes, Elfte Durchführungsverordnung über Ausgleichsabgaben nach dem Lastenausgleichsgesetz vom 11. August 1954 - Bundesgesetzbl. I S. 258),</w:t>
      </w:r>
    </w:p>
    <w:p>
      <w:pPr>
        <w:ind w:left="420"/>
      </w:pPr>
      <w:r>
        <w:t xml:space="preserve">3. die Vorschriften über die Abzugsfähigkeit der Ausgleichsabgaben (§§ 207, 209, 211 und 212 des Lastenausgleichsgesetzes).</w:t>
      </w:r>
    </w:p>
    <w:p>
      <w:r>
        <w:rPr>
          <w:color w:val="555555"/>
          <w:sz w:val="17"/>
        </w:rPr>
        <w:t xml:space="preserve">Zitiervorschlag: § 106 StRSaarEG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https://recht.nulegal.eu/gesetze/StRSaarEG/106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