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StRSaarEG — Berücksichtigung von früheren Erwerben und Steuerfestsetzungen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es für einen Steuerfall auf frühere Erwerbe an, so sind diese auch dann zu berücksichtigen, wenn sie nach einem der saarländischen Erbschaft- und Schenkungsteuergesetze abgewickelt worden sind. Bei einer Zusammenrechnung nach § 13 des Erbschaftsteuergesetzes sind die früheren Erwerbe mit dem Wert anzusetzen, der sich ergeben hätte, wenn zum Zeitpunkt der Entstehung der Steuerschuld die Vorschriften des § 23 des Erbschaftsteuergesetzes angewendet worden wären. Der Wert des in Franken ermittelten Erwerbs ist nach dem amtlichen Umrechnungskurs vom Eingliederungstag auf Deutsche Mark umzustellen.</w:t>
      </w:r>
    </w:p>
    <w:p>
      <w:r>
        <w:t xml:space="preserve">(2) Kommt es für einen Steuerfall auf eine frühere Steuerveranlagung an, so ist diese Steuerveranlagung auch dann zu berücksichtigen, wenn sie nach einem der saarländischen Erbschaft- und Schenkungsteuergesetze durchgeführt worden ist. Die in Franken festgestellten Steuerbeträge sind dabei nach dem amtlichen Umrechnungskurs vom Eingliederungstag auf Deutsche Mark umzustellen.</w:t>
      </w:r>
    </w:p>
    <w:p>
      <w:r>
        <w:rPr>
          <w:color w:val="555555"/>
          <w:sz w:val="17"/>
        </w:rPr>
        <w:t xml:space="preserve">Zitiervorschlag: § 105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