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103 StRSaarEG — Überleitungsvorschriften zu § 33 des Grundsteuergesetzes</w:t>
      </w:r>
    </w:p>
    <w:p>
      <w:r>
        <w:rPr>
          <w:color w:val="555555"/>
          <w:sz w:val="18"/>
        </w:rPr>
        <w:t xml:space="preserve">Gesetz über die Einführung des deutschen Rechts auf dem Gebiete der Steuern, Zölle und Finanzmonopole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Saarland finden keine Anwendung</w:t>
      </w:r>
    </w:p>
    <w:p>
      <w:pPr>
        <w:ind w:left="420"/>
      </w:pPr>
      <w:r>
        <w:t xml:space="preserve">1. die Vorschriften des § 33 Abs. 1 bis 3 sowie Abs. 5 des Grundsteuergesetzes und</w:t>
      </w:r>
    </w:p>
    <w:p>
      <w:pPr>
        <w:ind w:left="420"/>
      </w:pPr>
      <w:r>
        <w:t xml:space="preserve">2. die Vorschriften der §§ 58 bis 60 der Grundsteuer-Durchführungsverordnung.</w:t>
      </w:r>
    </w:p>
    <w:p>
      <w:r>
        <w:rPr>
          <w:color w:val="555555"/>
          <w:sz w:val="17"/>
        </w:rPr>
        <w:t xml:space="preserve">Zitiervorschlag: § 103 StRSaarEG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https://recht.nulegal.eu/gesetze/StRSaarEG/103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