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StRSaarEG — Neuveranlagung und Nachveranlagung des Steuermeßbetrages im Saarland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Neuveranlagungen und Nachveranlagungen der Steuermeßbeträge werden auf den 1. Januar 1960 durchgeführt. Dabei werden zugrunde gelegt</w:t>
      </w:r>
    </w:p>
    <w:p>
      <w:pPr>
        <w:ind w:left="420"/>
      </w:pPr>
      <w:r>
        <w:t xml:space="preserve">1. der auf den Beginn des 1. Januar 1960 fortgeschriebene oder nachfestgestellte Einheitswert,</w:t>
      </w:r>
    </w:p>
    <w:p>
      <w:pPr>
        <w:ind w:left="420"/>
      </w:pPr>
      <w:r>
        <w:t xml:space="preserve">2. soweit auf den 1. Januar 1960 eine Fortschreibung oder Nachfeststellung des Einheitswerts nicht erfolgt, der auf den Beginn des Eingliederungstages fortgeschriebene oder nachfestgestellte Einheitswert,</w:t>
      </w:r>
    </w:p>
    <w:p>
      <w:pPr>
        <w:ind w:left="420"/>
      </w:pPr>
      <w:r>
        <w:t xml:space="preserve">3. soweit auch auf den Eingliederungstag eine Fortschreibung oder Nachfeststellung des Einheitswerts nicht erfolgt, der nach § 90 auf den Eingliederungstag von Franken in Deutsche Mark umgerechnete Einheitswert.</w:t>
      </w:r>
    </w:p>
    <w:p>
      <w:r>
        <w:t xml:space="preserve">(2) Der nach Absatz 1 neuveranlagte oder nachveranlagte Steuermeßbetrag gilt vom Kalenderjahr 1960 an. Der letzte vor dem Eingliederungstag veranlagte Steuermeßbetrag tritt mit Ablauf des Kalenderjahres 1959 außer Kraft.</w:t>
      </w:r>
    </w:p>
    <w:p>
      <w:r>
        <w:rPr>
          <w:color w:val="555555"/>
          <w:sz w:val="17"/>
        </w:rPr>
        <w:t xml:space="preserve">Zitiervorschlag: § 100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https://recht.nulegal.eu/gesetze/StRSaarEG/100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