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StRGVV (Bayern)</w:t>
      </w:r>
    </w:p>
    <w:p>
      <w:r>
        <w:rPr>
          <w:color w:val="555555"/>
          <w:sz w:val="18"/>
        </w:rPr>
        <w:t xml:space="preserve">Verordnung über die Geschäftsverteilung der Bayerischen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53 und 77 Abs. 1 Satz 2 der Verfassung des Freistaates Bayern in der Fassung der Bekanntmachung vom 15. Dezember 1998 (GVBl S. 991, BayRS 100-1-I), zuletzt geändert durch Gesetze vom 11. November 2013 (GVBl S. 638, 639, 640, 641, 642), erlässt die Bayerische Staatsregierung folgende Verordnung:</w:t>
      </w:r>
    </w:p>
    <w:p>
      <w:r>
        <w:rPr>
          <w:color w:val="555555"/>
          <w:sz w:val="17"/>
        </w:rPr>
        <w:t xml:space="preserve">Zitiervorschlag: Eingangsformel StRGVV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https://recht.nulegal.eu/gesetze/StRGVV/eingangsformel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