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StRGVV (Bayern) — Staatsministerium für Unterricht und Kultus</w:t>
      </w:r>
    </w:p>
    <w:p>
      <w:r>
        <w:rPr>
          <w:color w:val="555555"/>
          <w:sz w:val="18"/>
        </w:rPr>
        <w:t xml:space="preserve">Verordnung über die Geschäftsverteilung der Bayerischen Staatsregierung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für Unterricht und Kultus nimmt insbesondere folgende Aufgaben wahr:</w:t>
      </w:r>
    </w:p>
    <w:p>
      <w:r>
        <w:t xml:space="preserve">1. Bildung</w:t>
      </w:r>
    </w:p>
    <w:p>
      <w:r>
        <w:t xml:space="preserve">a) Schul- und Unterrichtswesen</w:t>
      </w:r>
    </w:p>
    <w:p>
      <w:r>
        <w:t xml:space="preserve">b) Bildungspolitik, -planung und -information</w:t>
      </w:r>
    </w:p>
    <w:p>
      <w:r>
        <w:t xml:space="preserve">c) Lehrerbildung</w:t>
      </w:r>
    </w:p>
    <w:p>
      <w:r>
        <w:t xml:space="preserve">d) Schulsport</w:t>
      </w:r>
    </w:p>
    <w:p>
      <w:r>
        <w:t xml:space="preserve">e) Ausbildungsförderung, soweit nicht anderen Ressorts zugewiesen</w:t>
      </w:r>
    </w:p>
    <w:p>
      <w:r>
        <w:t xml:space="preserve">f) Erwachsenenbildung</w:t>
      </w:r>
    </w:p>
    <w:p>
      <w:r>
        <w:t xml:space="preserve">g) Politische Bildungsarbeit</w:t>
      </w:r>
    </w:p>
    <w:p>
      <w:r>
        <w:t xml:space="preserve">2. Beziehungen zu den Kirchen und Religionsgemeinschaften, kirchliche Statusfragen</w:t>
      </w:r>
    </w:p>
    <w:p>
      <w:r>
        <w:t xml:space="preserve">3. Stiftungen zugunsten Religion und Bildung.</w:t>
      </w:r>
    </w:p>
    <w:p>
      <w:r>
        <w:rPr>
          <w:color w:val="555555"/>
          <w:sz w:val="17"/>
        </w:rPr>
        <w:t xml:space="preserve">Zitiervorschlag: § 6 StRGVV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https://recht.nulegal.eu/gesetze/StRGVV/6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