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StRGVV (Bayern) — Staatsministerium für Wohnen, Bau und Verkehr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Wohnen, Bau und Verkehr nimmt insbesondere folgende Aufgaben wahr:</w:t>
      </w:r>
    </w:p>
    <w:p>
      <w:r>
        <w:t xml:space="preserve">1. Wohnen, Bau</w:t>
      </w:r>
    </w:p>
    <w:p>
      <w:r>
        <w:t xml:space="preserve">a) Wohnungsbau, Wohnungsbauförderung</w:t>
      </w:r>
    </w:p>
    <w:p>
      <w:r>
        <w:t xml:space="preserve">b) Städtebau, Städtebauförderung</w:t>
      </w:r>
    </w:p>
    <w:p>
      <w:r>
        <w:t xml:space="preserve">c) Bauplanungs- und Bauordnungsrecht</w:t>
      </w:r>
    </w:p>
    <w:p>
      <w:r>
        <w:t xml:space="preserve">d) Staatlicher Hochbau</w:t>
      </w:r>
    </w:p>
    <w:p>
      <w:r>
        <w:t xml:space="preserve">e) Straßen-, Brücken-, Wegebau</w:t>
      </w:r>
    </w:p>
    <w:p>
      <w:r>
        <w:t xml:space="preserve">f) Straßen- und Wegerecht</w:t>
      </w:r>
    </w:p>
    <w:p>
      <w:r>
        <w:t xml:space="preserve">g) Vergabe- und Vertragswesen im Baubereich, Honorarordnung für Architekten und Ingenieure</w:t>
      </w:r>
    </w:p>
    <w:p>
      <w:r>
        <w:t xml:space="preserve">h) Staatliche Immobilienverwaltung</w:t>
      </w:r>
    </w:p>
    <w:p>
      <w:r>
        <w:t xml:space="preserve">i) Staatliche Bau-, Grundstücks- und Wohnungsbaugesellschaften</w:t>
      </w:r>
    </w:p>
    <w:p>
      <w:r>
        <w:t xml:space="preserve">2. Verkehr</w:t>
      </w:r>
    </w:p>
    <w:p>
      <w:r>
        <w:t xml:space="preserve">a) Verkehrspolitik und -planung, soweit nicht § 9 Nr. 2</w:t>
      </w:r>
    </w:p>
    <w:p>
      <w:r>
        <w:t xml:space="preserve">b) Straßenverkehr, Rad- und Fußgängerverkehr</w:t>
      </w:r>
    </w:p>
    <w:p>
      <w:r>
        <w:t xml:space="preserve">c) Straßenverkehrszulassungsrecht</w:t>
      </w:r>
    </w:p>
    <w:p>
      <w:r>
        <w:t xml:space="preserve">d) Eisenbahn, Personenbeförderung, öffentlicher Personennahverkehr</w:t>
      </w:r>
    </w:p>
    <w:p>
      <w:r>
        <w:t xml:space="preserve">e) Schifffahrt, soweit nicht § 8 Satz 1 Nr. 2 Buchst. a, Häfen, Verkehrswasserbau</w:t>
      </w:r>
    </w:p>
    <w:p>
      <w:r>
        <w:t xml:space="preserve">f) Luftverkehr, Schutz gegen Fluglärm, Wetterdienst</w:t>
      </w:r>
    </w:p>
    <w:p>
      <w:r>
        <w:t xml:space="preserve">g) Seilbahnen</w:t>
      </w:r>
    </w:p>
    <w:p>
      <w:r>
        <w:t xml:space="preserve">h) Verkehrslogistik, Güterverkehr</w:t>
      </w:r>
    </w:p>
    <w:p>
      <w:r>
        <w:t xml:space="preserve">i) Technischer Immissionsschutz an Verkehrswegen</w:t>
      </w:r>
    </w:p>
    <w:p>
      <w:r>
        <w:t xml:space="preserve">3. Enteignung.</w:t>
      </w:r>
    </w:p>
    <w:p>
      <w:r>
        <w:t xml:space="preserve">Es führt neben seinem ersten Dienstsitz in der Landeshauptstadt einen zweiten Dienstsitz in Augsburg.</w:t>
      </w:r>
    </w:p>
    <w:p>
      <w:r>
        <w:rPr>
          <w:color w:val="555555"/>
          <w:sz w:val="17"/>
        </w:rPr>
        <w:t xml:space="preserve">Zitiervorschlag: § 4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