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StRGVV (Bayern) — Geschäftsbereiche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Geschäfte der Staatsregierung werden vorbehaltlich § 1 Abs. 2 auf folgende Geschäftsbereiche aufgeteilt:</w:t>
      </w:r>
    </w:p>
    <w:p>
      <w:r>
        <w:t xml:space="preserve">1. Staatsministerium des Innern, für Sport und Integration</w:t>
      </w:r>
    </w:p>
    <w:p>
      <w:r>
        <w:t xml:space="preserve">2. Staatsministerium für Wohnen, Bau und Verkehr</w:t>
      </w:r>
    </w:p>
    <w:p>
      <w:r>
        <w:t xml:space="preserve">3. Staatsministerium der Justiz</w:t>
      </w:r>
    </w:p>
    <w:p>
      <w:r>
        <w:t xml:space="preserve">4. Staatsministerium für Unterricht und Kultus</w:t>
      </w:r>
    </w:p>
    <w:p>
      <w:r>
        <w:t xml:space="preserve">5. Staatsministerium für Wissenschaft und Kunst</w:t>
      </w:r>
    </w:p>
    <w:p>
      <w:r>
        <w:t xml:space="preserve">6. Staatsministerium der Finanzen und für Heimat</w:t>
      </w:r>
    </w:p>
    <w:p>
      <w:r>
        <w:t xml:space="preserve">7. Staatsministerium für Wirtschaft, Landesentwicklung und Energie</w:t>
      </w:r>
    </w:p>
    <w:p>
      <w:r>
        <w:t xml:space="preserve">8. Staatsministerium für Umwelt und Verbraucherschutz</w:t>
      </w:r>
    </w:p>
    <w:p>
      <w:r>
        <w:t xml:space="preserve">9. Staatsministerium für Ernährung, Landwirtschaft, Forsten und Tourismus</w:t>
      </w:r>
    </w:p>
    <w:p>
      <w:r>
        <w:t xml:space="preserve">10. Staatsministerium für Familie, Arbeit und Soziales</w:t>
      </w:r>
    </w:p>
    <w:p>
      <w:r>
        <w:t xml:space="preserve">11. Staatsministerium für Gesundheit, Pflege und Prävention</w:t>
      </w:r>
    </w:p>
    <w:p>
      <w:r>
        <w:t xml:space="preserve">12. Staatsministerium für Digitales.</w:t>
      </w:r>
    </w:p>
    <w:p>
      <w:r>
        <w:rPr>
          <w:color w:val="555555"/>
          <w:sz w:val="17"/>
        </w:rPr>
        <w:t xml:space="preserve">Zitiervorschlag: § 2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