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StRGVV (Bayern) — Allgemeine Bestimmungen</w:t>
      </w:r>
    </w:p>
    <w:p>
      <w:r>
        <w:rPr>
          <w:color w:val="555555"/>
          <w:sz w:val="18"/>
        </w:rPr>
        <w:t xml:space="preserve">Verordnung über die Geschäftsverteilung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Behandlung von Normentwürfen des Landes, des Bundes oder der Europäischen Union ist das für den jeweiligen Gegenstand federführende Ministerium zuständig. § 1 bleibt unberührt.</w:t>
      </w:r>
    </w:p>
    <w:p>
      <w:r>
        <w:t xml:space="preserve">(2) Für den Vollzug der Gesetze und Verordnungen, für die Regelung des Verfahrens der Behörden und für die Aufsicht über die Behörden und Beamten ist unbeschadet besonderer Vorschriften und des § 3 Nr. 1 Buchst. c und d jedes Staatsministerium innerhalb seines Geschäftsbereichs zuständig.</w:t>
      </w:r>
    </w:p>
    <w:p>
      <w:r>
        <w:t xml:space="preserve">(3) Sind von einem Gegenstand mehrere Staatsministerien berührt, haben sie sich gegenseitig zu beteiligen. Federführend ist das Staatsministerium, das schwerpunktmäßig betroffen ist.</w:t>
      </w:r>
    </w:p>
    <w:p>
      <w:r>
        <w:t xml:space="preserve">(4) Vorlagen in Personalangelegenheiten, die der Beschlussfassung der Staatsregierung bedürfen, werden von dem Staatsministerium erstellt, in dessen Haushalt die betreffenden Planstellen ausgebracht sind.</w:t>
      </w:r>
    </w:p>
    <w:p>
      <w:r>
        <w:t xml:space="preserve">(5) In allen Bauangelegenheiten haben sich die Staatsministerien der Baubehörden im Geschäftsbereich des Staatsministeriums für Wohnen, Bau und Verkehr zu bedienen.</w:t>
      </w:r>
    </w:p>
    <w:p>
      <w:r>
        <w:rPr>
          <w:color w:val="555555"/>
          <w:sz w:val="17"/>
        </w:rPr>
        <w:t xml:space="preserve">Zitiervorschlag: § 15 StRGVV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https://recht.nulegal.eu/gesetze/StRGVV/15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