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StRGVV (Bayern) — Staatsministerium für Familie, Arbeit und Soziales</w:t>
      </w:r>
    </w:p>
    <w:p>
      <w:r>
        <w:rPr>
          <w:color w:val="555555"/>
          <w:sz w:val="18"/>
        </w:rPr>
        <w:t xml:space="preserve">Verordnung über die Geschäftsverteilung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Familie, Arbeit und Soziales nimmt insbesondere folgende Aufgaben wahr:</w:t>
      </w:r>
    </w:p>
    <w:p>
      <w:r>
        <w:t xml:space="preserve">1. Arbeit</w:t>
      </w:r>
    </w:p>
    <w:p>
      <w:r>
        <w:t xml:space="preserve">a) Individuelles und kollektives Arbeitsrecht</w:t>
      </w:r>
    </w:p>
    <w:p>
      <w:r>
        <w:t xml:space="preserve">b) Arbeitsmarkt, Arbeitsförderung, Grundsicherung für Arbeitsuchende</w:t>
      </w:r>
    </w:p>
    <w:p>
      <w:r>
        <w:t xml:space="preserve">c) Rechtlicher und sozialer Arbeitsschutz, Mutterschutz, Arbeitsmedizin, Heimarbeit, einschließlich gewerbeaufsichtlicher Vollzug</w:t>
      </w:r>
    </w:p>
    <w:p>
      <w:r>
        <w:t xml:space="preserve">d) Ladenschluss</w:t>
      </w:r>
    </w:p>
    <w:p>
      <w:r>
        <w:t xml:space="preserve">e) Arbeitsgerichtsbarkeit einschließlich Verfahrens- und Gerichtskostenrecht</w:t>
      </w:r>
    </w:p>
    <w:p>
      <w:r>
        <w:t xml:space="preserve">2. Soziales</w:t>
      </w:r>
    </w:p>
    <w:p>
      <w:r>
        <w:t xml:space="preserve">a) Sozialrecht</w:t>
      </w:r>
    </w:p>
    <w:p>
      <w:r>
        <w:t xml:space="preserve">b) Sozialversicherungen, Sozialversicherungsträger und Versicherungsbehörden einschließlich Aufsicht, soweit nicht § 13 Satz 1 Nr. 7 bis 9</w:t>
      </w:r>
    </w:p>
    <w:p>
      <w:r>
        <w:t xml:space="preserve">c) Sozialhilferecht, Wohnungslosenhilfe</w:t>
      </w:r>
    </w:p>
    <w:p>
      <w:r>
        <w:t xml:space="preserve">d) Blindengeld, soziale Entschädigung</w:t>
      </w:r>
    </w:p>
    <w:p>
      <w:r>
        <w:t xml:space="preserve">e) Kinder- und Jugendhilfe einschließlich Kindertageseinrichtungen</w:t>
      </w:r>
    </w:p>
    <w:p>
      <w:r>
        <w:t xml:space="preserve">f) Kriegsgefangene, Heimkehrer, Lastenausgleich</w:t>
      </w:r>
    </w:p>
    <w:p>
      <w:r>
        <w:t xml:space="preserve">g) Ehrenamt und Freiwilligendienste, soweit nicht § 3 Nr. 3 oder § 13 Satz 1 Nr. 11</w:t>
      </w:r>
    </w:p>
    <w:p>
      <w:r>
        <w:t xml:space="preserve">h) Wohlfahrtspflege, Sozialwirtschaft</w:t>
      </w:r>
    </w:p>
    <w:p>
      <w:r>
        <w:t xml:space="preserve">i) Förderung der Insolvenzberatung</w:t>
      </w:r>
    </w:p>
    <w:p>
      <w:r>
        <w:t xml:space="preserve">k) Sozialgerichtsbarkeit einschließlich Verfahrens- und Gerichtskostenrecht</w:t>
      </w:r>
    </w:p>
    <w:p>
      <w:r>
        <w:t xml:space="preserve">3. Familien- und Seniorenpolitik, Schutz des ungeborenen Lebens, Generationenzusammenhalt und -politik</w:t>
      </w:r>
    </w:p>
    <w:p>
      <w:r>
        <w:t xml:space="preserve">4. Frauenpolitik, Gleichstellung von Frauen und Männern</w:t>
      </w:r>
    </w:p>
    <w:p>
      <w:r>
        <w:t xml:space="preserve">5. Vertriebene, Spätaussiedler</w:t>
      </w:r>
    </w:p>
    <w:p>
      <w:r>
        <w:t xml:space="preserve">6. Teilhabe, Selbsthilfe und Förderung von Menschen mit Behinderung oder chronischer Krankheit, Schwerbehindertenrecht, Behindertenbreitensport</w:t>
      </w:r>
    </w:p>
    <w:p>
      <w:r>
        <w:t xml:space="preserve">7. Psychiatrischer Maßregelvollzug einschließlich forensisch-psychiatrische Ambulanzen zur Nachsorge</w:t>
      </w:r>
    </w:p>
    <w:p>
      <w:r>
        <w:t xml:space="preserve">8. Unterbringungswesen</w:t>
      </w:r>
    </w:p>
    <w:p>
      <w:r>
        <w:t xml:space="preserve">9. Gräbergesetz.</w:t>
      </w:r>
    </w:p>
    <w:p>
      <w:r>
        <w:rPr>
          <w:color w:val="555555"/>
          <w:sz w:val="17"/>
        </w:rPr>
        <w:t xml:space="preserve">Zitiervorschlag: § 12 StRGVV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https://recht.nulegal.eu/gesetze/StRGVV/12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