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StRGVV (Bayern) — Staatsministerium für Ernährung, Landwirtschaft, Forsten und Tourismus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Ernährung, Landwirtschaft, Forsten und Tourismus nimmt insbesondere folgende Aufgaben wahr:</w:t>
      </w:r>
    </w:p>
    <w:p>
      <w:r>
        <w:t xml:space="preserve">1. Landwirtschaft</w:t>
      </w:r>
    </w:p>
    <w:p>
      <w:r>
        <w:t xml:space="preserve">a) Acker-, Wein-, Obst- und Gartenbau, ökologischer Landbau, Sonderkulturen</w:t>
      </w:r>
    </w:p>
    <w:p>
      <w:r>
        <w:t xml:space="preserve">b) Grünlandwirtschaft, Almen, Milchwirtschaft</w:t>
      </w:r>
    </w:p>
    <w:p>
      <w:r>
        <w:t xml:space="preserve">c) Tierzucht und -haltung, Saatzucht, Pflanzenschutz, Landtechnik, Hufbeschlag</w:t>
      </w:r>
    </w:p>
    <w:p>
      <w:r>
        <w:t xml:space="preserve">d) Markt und Marktordnung, Agrarförderung, Diversifizierung, agrarische Betriebswirtschaft, Ausstellungswesen</w:t>
      </w:r>
    </w:p>
    <w:p>
      <w:r>
        <w:t xml:space="preserve">e) Qualitätssicherung in der Erzeugung, soweit nicht § 10 Nr. 2 Buchst. e, Qualitäts- und Herkunftsprogramme</w:t>
      </w:r>
    </w:p>
    <w:p>
      <w:r>
        <w:t xml:space="preserve">f) Veterinärkontrollen und zugehöriger Vollzug in landwirtschaftlichen Betrieben einschließlich des Tierschutzes bei Haltung landwirtschaftlicher Nutztiere</w:t>
      </w:r>
    </w:p>
    <w:p>
      <w:r>
        <w:t xml:space="preserve">2. Wald, Forstwirtschaft</w:t>
      </w:r>
    </w:p>
    <w:p>
      <w:r>
        <w:t xml:space="preserve">3. Ernährung</w:t>
      </w:r>
    </w:p>
    <w:p>
      <w:r>
        <w:t xml:space="preserve">a) Ernährungsbildung</w:t>
      </w:r>
    </w:p>
    <w:p>
      <w:r>
        <w:t xml:space="preserve">b) Gemeinschaftsverpflegung</w:t>
      </w:r>
    </w:p>
    <w:p>
      <w:r>
        <w:t xml:space="preserve">c) Ernährungsnotfallvorsorge</w:t>
      </w:r>
    </w:p>
    <w:p>
      <w:r>
        <w:t xml:space="preserve">4. Fischerei, Imkerei</w:t>
      </w:r>
    </w:p>
    <w:p>
      <w:r>
        <w:t xml:space="preserve">5. Land- und forstwirtschaftliches Bodenrecht</w:t>
      </w:r>
    </w:p>
    <w:p>
      <w:r>
        <w:t xml:space="preserve">6. EU-Zahlstelle für Fonds der Landwirtschaft und Fischerei</w:t>
      </w:r>
    </w:p>
    <w:p>
      <w:r>
        <w:t xml:space="preserve">7. Beratung, Aus- und Fortbildung in der Land-, Forst- und Hauswirtschaft, einschlägiges Fachschulwesen, praxisorientierte Agrarforschung</w:t>
      </w:r>
    </w:p>
    <w:p>
      <w:r>
        <w:t xml:space="preserve">8. Land- und forstwirtschaftliche Genossenschaften und Vereinigungen, Berufsvertretungen</w:t>
      </w:r>
    </w:p>
    <w:p>
      <w:r>
        <w:t xml:space="preserve">9. Integrierte Ländliche Entwicklung, Dorferneuerung, Flurneuordnung</w:t>
      </w:r>
    </w:p>
    <w:p>
      <w:r>
        <w:t xml:space="preserve">10. Pferderennen, Totalisatorwesen</w:t>
      </w:r>
    </w:p>
    <w:p>
      <w:r>
        <w:t xml:space="preserve">11. Tourismus</w:t>
      </w:r>
    </w:p>
    <w:p>
      <w:r>
        <w:t xml:space="preserve">12. Gastronomie, Gastgewerbe.</w:t>
      </w:r>
    </w:p>
    <w:p>
      <w:r>
        <w:rPr>
          <w:color w:val="555555"/>
          <w:sz w:val="17"/>
        </w:rPr>
        <w:t xml:space="preserve">Zitiervorschlag: § 11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