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StRGVV (Bayern) — Staatsministerium für Umwelt und Verbraucherschutz</w:t>
      </w:r>
    </w:p>
    <w:p>
      <w:r>
        <w:rPr>
          <w:color w:val="555555"/>
          <w:sz w:val="18"/>
        </w:rPr>
        <w:t xml:space="preserve">Verordnung über die Geschäftsverteilung der Bayerischen Staatsregierung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Staatsministerium für Umwelt und Verbraucherschutz nimmt insbesondere folgende Aufgaben wahr:</w:t>
      </w:r>
    </w:p>
    <w:p>
      <w:r>
        <w:t xml:space="preserve">1. Umwelt</w:t>
      </w:r>
    </w:p>
    <w:p>
      <w:r>
        <w:t xml:space="preserve">a) Klimaschutz, -anpassung, -forschung</w:t>
      </w:r>
    </w:p>
    <w:p>
      <w:r>
        <w:t xml:space="preserve">b) Natur- und Landschaftsschutz, Biodiversität, Gewässerentwicklung, Landschaftspflege, Förderung</w:t>
      </w:r>
    </w:p>
    <w:p>
      <w:r>
        <w:t xml:space="preserve">c) Bayerische Nationalparke</w:t>
      </w:r>
    </w:p>
    <w:p>
      <w:r>
        <w:t xml:space="preserve">d) Boden- und Gewässerschutz, Altlastenbewältigung, Geologie</w:t>
      </w:r>
    </w:p>
    <w:p>
      <w:r>
        <w:t xml:space="preserve">e) Wasserbewirtschaftung, Wasserversorgung und Abwasser, Hochwasserschutz, soweit nicht § 9 Nr. 3 Buchst. c</w:t>
      </w:r>
    </w:p>
    <w:p>
      <w:r>
        <w:t xml:space="preserve">f) Immissionsschutz: insbesondere Luftreinhaltung, nichtionisierende Strahlung, Lärm, soweit nicht § 4 Nr. 2</w:t>
      </w:r>
    </w:p>
    <w:p>
      <w:r>
        <w:t xml:space="preserve">g) Bio- und Gentechnik, soweit nicht § 9 Nr. 4 oder § 11 Nr. 1 Buchst. c, Umweltchemikalien</w:t>
      </w:r>
    </w:p>
    <w:p>
      <w:r>
        <w:t xml:space="preserve">h) Umweltbeobachtung, Naturgefahren, Warndienste</w:t>
      </w:r>
    </w:p>
    <w:p>
      <w:r>
        <w:t xml:space="preserve">i) Abfallwirtschaft, Wiederverwertung</w:t>
      </w:r>
    </w:p>
    <w:p>
      <w:r>
        <w:t xml:space="preserve">k) Nachhaltigkeit: Grundsatzfragen</w:t>
      </w:r>
    </w:p>
    <w:p>
      <w:r>
        <w:t xml:space="preserve">l) Kernenergie, Strahlenschutz, Stilllegung kerntechnischer Anlagen</w:t>
      </w:r>
    </w:p>
    <w:p>
      <w:r>
        <w:t xml:space="preserve">2. Verbraucherschutz</w:t>
      </w:r>
    </w:p>
    <w:p>
      <w:r>
        <w:t xml:space="preserve">a) Verbraucherpolitik, -information, -forschung</w:t>
      </w:r>
    </w:p>
    <w:p>
      <w:r>
        <w:t xml:space="preserve">b) Wirtschaftlicher Verbraucherschutz, soweit nicht § 5 Nr. 2 Buchst. a</w:t>
      </w:r>
    </w:p>
    <w:p>
      <w:r>
        <w:t xml:space="preserve">c) Gesundheitlicher Verbraucherschutz, Aus- und Fortbildung des zuständigen Überwachungspersonals</w:t>
      </w:r>
    </w:p>
    <w:p>
      <w:r>
        <w:t xml:space="preserve">d) Veterinärwesen einschließlich Aus- und Fortbildung, Tierschutz, Tierseuchen, Futtermittel und Tierarzneimittel, soweit nicht § 11 Nr. 1 Buchst. f oder § 13 Satz 1 Nr. 4</w:t>
      </w:r>
    </w:p>
    <w:p>
      <w:r>
        <w:t xml:space="preserve">e) Lebensmittelsicherheit und darauf bezogene Kontrolle von Landwirtschaft und sonstiger Urproduktion</w:t>
      </w:r>
    </w:p>
    <w:p>
      <w:r>
        <w:t xml:space="preserve">f) Bedarfsgegenstände, kosmetische Mittel, Tabakerzeugnisse</w:t>
      </w:r>
    </w:p>
    <w:p>
      <w:r>
        <w:t xml:space="preserve">g) Gewerbeaufsicht und Marktüberwachung, soweit nicht § 9 Nr. 1 Buchst. b Doppelbuchst. cc oder § 12 Nr. 1 Buchst. c</w:t>
      </w:r>
    </w:p>
    <w:p>
      <w:r>
        <w:t xml:space="preserve">h) Technischer und stofflicher Verbraucherschutz einschließlich des damit verbundenen Arbeitsschutzes</w:t>
      </w:r>
    </w:p>
    <w:p>
      <w:r>
        <w:t xml:space="preserve">i) Chemikaliensicherheit</w:t>
      </w:r>
    </w:p>
    <w:p>
      <w:r>
        <w:t xml:space="preserve">k) Medizinprodukte, soweit nicht § 13 Satz 1 Nr. 4</w:t>
      </w:r>
    </w:p>
    <w:p>
      <w:r>
        <w:t xml:space="preserve">l) Sprengstoffrecht.</w:t>
      </w:r>
    </w:p>
    <w:p>
      <w:r>
        <w:rPr>
          <w:color w:val="555555"/>
          <w:sz w:val="17"/>
        </w:rPr>
        <w:t xml:space="preserve">Zitiervorschlag: § 10 StRGVV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https://recht.nulegal.eu/gesetze/StRGVV/10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