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StRGO (Bayern)</w:t>
      </w:r>
    </w:p>
    <w:p>
      <w:r>
        <w:rPr>
          <w:color w:val="555555"/>
          <w:sz w:val="18"/>
        </w:rPr>
        <w:t xml:space="preserve">Geschäftsordnung der Bayerischen Staatsregierung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15. Mai 2018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rPr>
          <w:color w:val="555555"/>
          <w:sz w:val="17"/>
        </w:rPr>
        <w:t xml:space="preserve">Zitiervorschlag: Schlussformel StRGO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https://recht.nulegal.eu/gesetze/StRGO/schlussformel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