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StRGO (Bayern)</w:t>
      </w:r>
    </w:p>
    <w:p>
      <w:r>
        <w:rPr>
          <w:color w:val="555555"/>
          <w:sz w:val="18"/>
        </w:rPr>
        <w:t xml:space="preserve">Geschäftsordnung der Bayerischen Staatsregierung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53 der Verfassung des Freistaates Bayern in der Fassung der Bekanntmachung vom 15. Dezember 1998 (GVBl. S. 991, 992, BayRS 100-1-I), die zuletzt durch Gesetze vom 11. November 2013 (GVBl. S. 638, 639, 640, 641, 642) geändert worden ist, gibt sich die Bayerische Staatsregierung folgende Geschäftsordnung:</w:t>
      </w:r>
    </w:p>
    <w:p>
      <w:r>
        <w:rPr>
          <w:color w:val="555555"/>
          <w:sz w:val="17"/>
        </w:rPr>
        <w:t xml:space="preserve">Zitiervorschlag: Eingangsformel StRGO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https://recht.nulegal.eu/gesetze/StRGO/eingangsformel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