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StRGO (Bayern) — Staatssekretäre</w:t>
      </w:r>
    </w:p>
    <w:p>
      <w:r>
        <w:rPr>
          <w:color w:val="555555"/>
          <w:sz w:val="18"/>
        </w:rPr>
        <w:t xml:space="preserve">Geschäftsordnung der Bayerischen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Staatssekretäre haben in der Staatsregierung Sitz und Stimme und sind insoweit nicht an Weisungen gebunden. Im Übrigen unterstützen sie weisungsgebunden den Staatsminister, dem sie zugewiesen sind. § 3 Abs. 4 bis 6 gilt entsprechend. § 4 Abs. 1 Satz 3 gilt entsprechend.</w:t>
      </w:r>
    </w:p>
    <w:p>
      <w:r>
        <w:rPr>
          <w:color w:val="555555"/>
          <w:sz w:val="17"/>
        </w:rPr>
        <w:t xml:space="preserve">Zitiervorschlag: § 5 StRGO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https://recht.nulegal.eu/gesetze/StRGO/5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