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StRGO (Bayern) — Inkrafttreten, Außerkrafttreten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Geschäftsordnung tritt am 1. Juni 2018 in Kraft.</w:t>
      </w:r>
    </w:p>
    <w:p>
      <w:r>
        <w:t xml:space="preserve">(2) Mit Ablauf des 31. Mai 2018 tritt die Geschäftsordnung der Bayerischen Staatsregierung (StRGeschO) in der Fassung der Bekanntmachung vom 2. November 2006 (BayRS 1102-2-1-S, GVBl S. 825), die zuletzt durch Änderung vom 28. Januar 2014 (GVBl. S. 58) geändert worden ist, außer Kraft.</w:t>
      </w:r>
    </w:p>
    <w:p>
      <w:r>
        <w:rPr>
          <w:color w:val="555555"/>
          <w:sz w:val="17"/>
        </w:rPr>
        <w:t xml:space="preserve">Zitiervorschlag: § 20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