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StRGO (Bayern) — Personalangelegenheiten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Personalangelegenheiten werden in der Regel in Sammelterminen im Ministerrat behandelt.</w:t>
      </w:r>
    </w:p>
    <w:p>
      <w:r>
        <w:t xml:space="preserve">(2) Abweichend von § 7 Abs. 5 enthalten Ministerratsvorlagen in Personalangelegenheiten folgende Angaben:</w:t>
      </w:r>
    </w:p>
    <w:p>
      <w:r>
        <w:t xml:space="preserve">1. die vorgeschlagene Personalmaßnahme,</w:t>
      </w:r>
    </w:p>
    <w:p>
      <w:r>
        <w:t xml:space="preserve">2. einen kurzen Werdegang des Betroffenen,</w:t>
      </w:r>
    </w:p>
    <w:p>
      <w:r>
        <w:t xml:space="preserve">3. Angaben zur persönlichen Eignung des Betroffenen,</w:t>
      </w:r>
    </w:p>
    <w:p>
      <w:r>
        <w:t xml:space="preserve">4. die rechtlichen Voraussetzungen der Personalmaßnahme und ihre Bewertung im konkreten Fall,</w:t>
      </w:r>
    </w:p>
    <w:p>
      <w:r>
        <w:t xml:space="preserve">5. eine Darstellung der Konkurrenzsituation,</w:t>
      </w:r>
    </w:p>
    <w:p>
      <w:r>
        <w:t xml:space="preserve">6. die haushaltsrechtliche Stellenfrage,</w:t>
      </w:r>
    </w:p>
    <w:p>
      <w:r>
        <w:t xml:space="preserve">7. in den Fällen des § 6 Abs. 2 Nr. 2 Buchst. b den Entwurf eines etwa beabsichtigten Vertrags,</w:t>
      </w:r>
    </w:p>
    <w:p>
      <w:r>
        <w:t xml:space="preserve">8. eine gegebenenfalls abweichende Haltung des nach der Geschäftsverteilung der Staatsregierung für das öffentliche Dienstrecht zuständigen Staatsministeriums oder des Landespersonalausschusses.</w:t>
      </w:r>
    </w:p>
    <w:p>
      <w:r>
        <w:t xml:space="preserve">(3) Personalvorlagen müssen die der Thematik geschuldete persönliche Vertraulichkeit in besonderer Weise wahren. Das nach der Geschäftsverteilung der Staatsregierung für das öffentliche Dienstrecht zuständige Staatsministerium erhält stets einen Abdruck der Vorlagen.</w:t>
      </w:r>
    </w:p>
    <w:p>
      <w:r>
        <w:rPr>
          <w:color w:val="555555"/>
          <w:sz w:val="17"/>
        </w:rPr>
        <w:t xml:space="preserve">Zitiervorschlag: § 16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